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1982A" w14:textId="7C5EAD1B" w:rsidR="00CF0DB0" w:rsidRPr="00912F25" w:rsidRDefault="00A128EF" w:rsidP="00D91503">
      <w:pPr>
        <w:spacing w:after="0" w:line="240" w:lineRule="auto"/>
        <w:jc w:val="center"/>
        <w:rPr>
          <w:rFonts w:ascii="Cambria" w:eastAsia="Times New Roman" w:hAnsi="Cambria" w:cs="Arial"/>
          <w:b/>
          <w:bCs/>
          <w:sz w:val="24"/>
          <w:szCs w:val="24"/>
          <w:lang w:eastAsia="es-CR"/>
        </w:rPr>
      </w:pPr>
      <w:r>
        <w:rPr>
          <w:rFonts w:ascii="Cambria" w:eastAsia="Times New Roman" w:hAnsi="Cambria" w:cs="Arial"/>
          <w:b/>
          <w:bCs/>
          <w:sz w:val="24"/>
          <w:szCs w:val="24"/>
          <w:lang w:eastAsia="es-CR"/>
        </w:rPr>
        <w:t>INFORMACIÓN SOBRE</w:t>
      </w:r>
      <w:r w:rsidR="00274886" w:rsidRPr="00912F25">
        <w:rPr>
          <w:rFonts w:ascii="Cambria" w:eastAsia="Times New Roman" w:hAnsi="Cambria" w:cs="Arial"/>
          <w:b/>
          <w:bCs/>
          <w:sz w:val="24"/>
          <w:szCs w:val="24"/>
          <w:lang w:eastAsia="es-CR"/>
        </w:rPr>
        <w:t xml:space="preserve"> PERSONAS FÍSICAS O JURÍDICAS </w:t>
      </w:r>
      <w:r w:rsidR="008619B8">
        <w:rPr>
          <w:rFonts w:ascii="Cambria" w:eastAsia="Times New Roman" w:hAnsi="Cambria" w:cs="Arial"/>
          <w:b/>
          <w:bCs/>
          <w:sz w:val="24"/>
          <w:szCs w:val="24"/>
          <w:lang w:eastAsia="es-CR"/>
        </w:rPr>
        <w:t>QUE REALIZAN ACTIVIDADES DE INTERMEDIACIÓN FINANCIERA</w:t>
      </w:r>
      <w:r>
        <w:rPr>
          <w:rFonts w:ascii="Cambria" w:eastAsia="Times New Roman" w:hAnsi="Cambria" w:cs="Arial"/>
          <w:b/>
          <w:bCs/>
          <w:sz w:val="24"/>
          <w:szCs w:val="24"/>
          <w:lang w:eastAsia="es-CR"/>
        </w:rPr>
        <w:t xml:space="preserve">, </w:t>
      </w:r>
      <w:r w:rsidR="008619B8">
        <w:rPr>
          <w:rFonts w:ascii="Cambria" w:eastAsia="Times New Roman" w:hAnsi="Cambria" w:cs="Arial"/>
          <w:b/>
          <w:bCs/>
          <w:sz w:val="24"/>
          <w:szCs w:val="24"/>
          <w:lang w:eastAsia="es-CR"/>
        </w:rPr>
        <w:t xml:space="preserve">CAMBIARIA </w:t>
      </w:r>
      <w:r>
        <w:rPr>
          <w:rFonts w:ascii="Cambria" w:eastAsia="Times New Roman" w:hAnsi="Cambria" w:cs="Arial"/>
          <w:b/>
          <w:bCs/>
          <w:sz w:val="24"/>
          <w:szCs w:val="24"/>
          <w:lang w:eastAsia="es-CR"/>
        </w:rPr>
        <w:t xml:space="preserve">O CAPTACIÓN DE RECURSOS </w:t>
      </w:r>
      <w:r w:rsidR="008619B8">
        <w:rPr>
          <w:rFonts w:ascii="Cambria" w:eastAsia="Times New Roman" w:hAnsi="Cambria" w:cs="Arial"/>
          <w:b/>
          <w:bCs/>
          <w:sz w:val="24"/>
          <w:szCs w:val="24"/>
          <w:lang w:eastAsia="es-CR"/>
        </w:rPr>
        <w:t>AL MARGEN DE LA LEY</w:t>
      </w:r>
    </w:p>
    <w:p w14:paraId="1B175A7A" w14:textId="77777777" w:rsidR="009D2F7D" w:rsidRDefault="009D2F7D" w:rsidP="008F47BC">
      <w:pPr>
        <w:spacing w:after="0" w:line="240" w:lineRule="auto"/>
        <w:jc w:val="both"/>
        <w:rPr>
          <w:rFonts w:ascii="Cambria" w:eastAsia="Times New Roman" w:hAnsi="Cambria" w:cs="Arial"/>
          <w:b/>
          <w:bCs/>
          <w:sz w:val="24"/>
          <w:szCs w:val="24"/>
          <w:lang w:eastAsia="es-CR"/>
        </w:rPr>
      </w:pPr>
    </w:p>
    <w:p w14:paraId="0B28E546" w14:textId="37ED2ACF" w:rsidR="00B447D8" w:rsidRPr="00B447D8" w:rsidRDefault="00B447D8" w:rsidP="00B447D8">
      <w:pPr>
        <w:pStyle w:val="NormalWeb"/>
        <w:jc w:val="both"/>
        <w:rPr>
          <w:rFonts w:asciiTheme="majorHAnsi" w:hAnsiTheme="majorHAnsi"/>
          <w:b/>
          <w:color w:val="000000"/>
          <w:sz w:val="22"/>
          <w:szCs w:val="22"/>
        </w:rPr>
      </w:pPr>
      <w:r w:rsidRPr="00B447D8">
        <w:rPr>
          <w:rFonts w:asciiTheme="majorHAnsi" w:hAnsiTheme="majorHAnsi"/>
          <w:b/>
          <w:color w:val="000000"/>
          <w:sz w:val="22"/>
          <w:szCs w:val="22"/>
        </w:rPr>
        <w:t>Aspectos Generales</w:t>
      </w:r>
    </w:p>
    <w:p w14:paraId="79AD129D" w14:textId="71696846" w:rsidR="003270B7" w:rsidRPr="004903BE" w:rsidRDefault="009F1EC3" w:rsidP="00B447D8">
      <w:pPr>
        <w:pStyle w:val="NormalWeb"/>
        <w:jc w:val="both"/>
        <w:rPr>
          <w:rFonts w:asciiTheme="majorHAnsi" w:hAnsiTheme="majorHAnsi"/>
          <w:color w:val="000000"/>
          <w:sz w:val="22"/>
          <w:szCs w:val="22"/>
        </w:rPr>
      </w:pPr>
      <w:r>
        <w:rPr>
          <w:rFonts w:asciiTheme="majorHAnsi" w:hAnsiTheme="majorHAnsi"/>
          <w:color w:val="000000"/>
          <w:sz w:val="22"/>
          <w:szCs w:val="22"/>
        </w:rPr>
        <w:t>De conformidad a</w:t>
      </w:r>
      <w:r w:rsidR="004903BE" w:rsidRPr="00B447D8">
        <w:rPr>
          <w:rFonts w:asciiTheme="majorHAnsi" w:hAnsiTheme="majorHAnsi"/>
          <w:color w:val="000000"/>
          <w:sz w:val="22"/>
          <w:szCs w:val="22"/>
        </w:rPr>
        <w:t xml:space="preserve"> lo establecido en el artículo 119 de la </w:t>
      </w:r>
      <w:r w:rsidR="003270B7" w:rsidRPr="00B447D8">
        <w:rPr>
          <w:rFonts w:asciiTheme="majorHAnsi" w:hAnsiTheme="majorHAnsi"/>
          <w:color w:val="000000"/>
          <w:sz w:val="22"/>
          <w:szCs w:val="22"/>
        </w:rPr>
        <w:t xml:space="preserve">Ley Orgánica del Banco Central de Costa Rica (Ley No. 7558), </w:t>
      </w:r>
      <w:r w:rsidR="004903BE" w:rsidRPr="004903BE">
        <w:rPr>
          <w:rFonts w:asciiTheme="majorHAnsi" w:hAnsiTheme="majorHAnsi"/>
          <w:color w:val="000000"/>
          <w:sz w:val="22"/>
          <w:szCs w:val="22"/>
        </w:rPr>
        <w:t>la Superintendencia General de Entidades Financiera (Sugef) debe  velar por la estabilidad, la solidez y el eficiente funcionamiento del Sistema Financiero Nacional, para lo cual ejerce sus actividades de supervisión y fiscalización sobre todas las entidades que llevan a cabo intermediación financiera, con estricto apego a las disposiciones legales y reglamentarias, velando por que cumplan con los preceptos que les sean aplicables.</w:t>
      </w:r>
    </w:p>
    <w:p w14:paraId="13A2C4A1" w14:textId="42CDF408" w:rsidR="004903BE" w:rsidRPr="004903BE" w:rsidRDefault="004903BE" w:rsidP="004903BE">
      <w:pPr>
        <w:pStyle w:val="NormalWeb"/>
        <w:jc w:val="both"/>
        <w:rPr>
          <w:rFonts w:asciiTheme="majorHAnsi" w:hAnsiTheme="majorHAnsi"/>
          <w:color w:val="000000"/>
          <w:sz w:val="22"/>
          <w:szCs w:val="22"/>
        </w:rPr>
      </w:pPr>
      <w:r>
        <w:rPr>
          <w:rFonts w:asciiTheme="majorHAnsi" w:hAnsiTheme="majorHAnsi"/>
          <w:color w:val="000000"/>
          <w:sz w:val="22"/>
          <w:szCs w:val="22"/>
        </w:rPr>
        <w:t>Esa</w:t>
      </w:r>
      <w:r w:rsidRPr="004903BE">
        <w:rPr>
          <w:rFonts w:asciiTheme="majorHAnsi" w:hAnsiTheme="majorHAnsi"/>
          <w:color w:val="000000"/>
          <w:sz w:val="22"/>
          <w:szCs w:val="22"/>
        </w:rPr>
        <w:t xml:space="preserve"> misma Ley</w:t>
      </w:r>
      <w:r>
        <w:rPr>
          <w:rFonts w:asciiTheme="majorHAnsi" w:hAnsiTheme="majorHAnsi"/>
          <w:color w:val="000000"/>
          <w:sz w:val="22"/>
          <w:szCs w:val="22"/>
        </w:rPr>
        <w:t xml:space="preserve">, </w:t>
      </w:r>
      <w:r w:rsidRPr="004903BE">
        <w:rPr>
          <w:rFonts w:asciiTheme="majorHAnsi" w:hAnsiTheme="majorHAnsi"/>
          <w:color w:val="000000"/>
          <w:sz w:val="22"/>
          <w:szCs w:val="22"/>
        </w:rPr>
        <w:t xml:space="preserve"> en su  artículo 116 indica que únicamente pueden realizar intermediación financiera en el país las entidades públicas o privadas, expresamente autorizadas por ley para ello, previo cumplimiento de los requisitos que la respectiva ley establezca y previa autorización de la Superintendencia. La autorización de la Superintendencia deberá ser otorgada cuando se cumpla con los requisitos legales.</w:t>
      </w:r>
    </w:p>
    <w:p w14:paraId="403F0215" w14:textId="53CD6674" w:rsidR="004903BE" w:rsidRPr="004903BE" w:rsidRDefault="004903BE" w:rsidP="004903BE">
      <w:pPr>
        <w:pStyle w:val="NormalWeb"/>
        <w:jc w:val="both"/>
        <w:rPr>
          <w:rFonts w:asciiTheme="majorHAnsi" w:hAnsiTheme="majorHAnsi"/>
          <w:color w:val="000000"/>
          <w:sz w:val="22"/>
          <w:szCs w:val="22"/>
        </w:rPr>
      </w:pPr>
      <w:r>
        <w:rPr>
          <w:rFonts w:asciiTheme="majorHAnsi" w:hAnsiTheme="majorHAnsi"/>
          <w:color w:val="000000"/>
          <w:sz w:val="22"/>
          <w:szCs w:val="22"/>
        </w:rPr>
        <w:t xml:space="preserve">Adicionalmente, define lo que se entiende por </w:t>
      </w:r>
      <w:r w:rsidRPr="004903BE">
        <w:rPr>
          <w:rFonts w:asciiTheme="majorHAnsi" w:hAnsiTheme="majorHAnsi"/>
          <w:color w:val="000000"/>
          <w:sz w:val="22"/>
          <w:szCs w:val="22"/>
        </w:rPr>
        <w:t>intermediación financiera</w:t>
      </w:r>
      <w:r>
        <w:rPr>
          <w:rFonts w:asciiTheme="majorHAnsi" w:hAnsiTheme="majorHAnsi"/>
          <w:color w:val="000000"/>
          <w:sz w:val="22"/>
          <w:szCs w:val="22"/>
        </w:rPr>
        <w:t>:</w:t>
      </w:r>
      <w:r w:rsidRPr="004903BE">
        <w:rPr>
          <w:rFonts w:asciiTheme="majorHAnsi" w:hAnsiTheme="majorHAnsi"/>
          <w:color w:val="000000"/>
          <w:sz w:val="22"/>
          <w:szCs w:val="22"/>
        </w:rPr>
        <w:t xml:space="preserve"> la captación de recursos financieros del público, en forma habitual, con el fin de destinarlos, por cuenta y riesgo del intermediario, a cualquier forma de crédito o inversión en valores, independientemente de la figura contractual o jurídica que se utilice y del tipo de documento, registro electrónico u otro análogo en el que se formalicen las transacciones.</w:t>
      </w:r>
    </w:p>
    <w:p w14:paraId="45F148CA" w14:textId="5801B018" w:rsidR="004903BE" w:rsidRPr="004903BE" w:rsidRDefault="004903BE" w:rsidP="004903BE">
      <w:pPr>
        <w:pStyle w:val="NormalWeb"/>
        <w:jc w:val="both"/>
        <w:rPr>
          <w:rFonts w:asciiTheme="majorHAnsi" w:hAnsiTheme="majorHAnsi"/>
          <w:color w:val="000000"/>
          <w:sz w:val="22"/>
          <w:szCs w:val="22"/>
        </w:rPr>
      </w:pPr>
      <w:r w:rsidRPr="004903BE">
        <w:rPr>
          <w:rFonts w:asciiTheme="majorHAnsi" w:hAnsiTheme="majorHAnsi"/>
          <w:color w:val="000000"/>
          <w:sz w:val="22"/>
          <w:szCs w:val="22"/>
        </w:rPr>
        <w:t>No se considera intermediación financiera la captación de recursos para capital de trabajo o para el financiamiento de proyectos de inversión de carácter no financiero de la propia empresa emisora o sus subsidiarias, siempre que las emisiones se encuentren registradas ante la Comisión Nacional de Valores. En estos casos, los pasivos totales de las empresas emisoras no pueden exceder de cuatro veces su capital y reservas, conforme a las reglas que emita la Comisión Nacional de Valores. Asimismo, las empresas emisoras estarán sujetas a las demás regulaciones que emita esa Comisión.</w:t>
      </w:r>
    </w:p>
    <w:p w14:paraId="7FB016B4" w14:textId="54AC4A2A" w:rsidR="003270B7" w:rsidRPr="003E41D8" w:rsidRDefault="00B447D8" w:rsidP="003270B7">
      <w:pPr>
        <w:shd w:val="clear" w:color="auto" w:fill="FFFFFF"/>
        <w:spacing w:after="100" w:afterAutospacing="1"/>
        <w:jc w:val="both"/>
        <w:rPr>
          <w:rFonts w:ascii="Cambria" w:hAnsi="Cambria" w:cs="Arial"/>
          <w:b/>
          <w:color w:val="222222"/>
        </w:rPr>
      </w:pPr>
      <w:r w:rsidRPr="003E41D8">
        <w:rPr>
          <w:rFonts w:ascii="Cambria" w:hAnsi="Cambria" w:cs="Arial"/>
          <w:b/>
          <w:color w:val="222222"/>
        </w:rPr>
        <w:t>Entidades supervisadas por la Sugef_</w:t>
      </w:r>
    </w:p>
    <w:p w14:paraId="632637CA" w14:textId="53BA146D" w:rsidR="003E41D8" w:rsidRPr="003E41D8" w:rsidRDefault="003E41D8" w:rsidP="003E41D8">
      <w:pPr>
        <w:pStyle w:val="NormalWeb"/>
        <w:jc w:val="both"/>
        <w:rPr>
          <w:rFonts w:asciiTheme="majorHAnsi" w:hAnsiTheme="majorHAnsi"/>
          <w:color w:val="000000"/>
          <w:sz w:val="22"/>
          <w:szCs w:val="22"/>
        </w:rPr>
      </w:pPr>
      <w:r w:rsidRPr="003E41D8">
        <w:rPr>
          <w:rFonts w:asciiTheme="majorHAnsi" w:hAnsiTheme="majorHAnsi"/>
          <w:color w:val="000000"/>
          <w:sz w:val="22"/>
          <w:szCs w:val="22"/>
        </w:rPr>
        <w:t xml:space="preserve">En el artículo 116 de la citada Ley 7558, se establece las entidades sujetas a fiscalización de la Superintendencia y las potestades de control monetario del Banco Central, los bancos públicos y privados, las empresas financieras no bancarias, las mutuales de ahorro y préstamo, las cooperativas de ahorro y crédito y las asociaciones </w:t>
      </w:r>
      <w:proofErr w:type="spellStart"/>
      <w:r w:rsidRPr="003E41D8">
        <w:rPr>
          <w:rFonts w:asciiTheme="majorHAnsi" w:hAnsiTheme="majorHAnsi"/>
          <w:color w:val="000000"/>
          <w:sz w:val="22"/>
          <w:szCs w:val="22"/>
        </w:rPr>
        <w:t>solidaristas</w:t>
      </w:r>
      <w:proofErr w:type="spellEnd"/>
      <w:r w:rsidRPr="003E41D8">
        <w:rPr>
          <w:rFonts w:asciiTheme="majorHAnsi" w:hAnsiTheme="majorHAnsi"/>
          <w:color w:val="000000"/>
          <w:sz w:val="22"/>
          <w:szCs w:val="22"/>
        </w:rPr>
        <w:t>. Además, toda otra entidad autorizada por ley para realizar intermediación financiera.</w:t>
      </w:r>
    </w:p>
    <w:p w14:paraId="20902370" w14:textId="08DF1431" w:rsidR="00B447D8" w:rsidRPr="003E41D8" w:rsidRDefault="003E41D8" w:rsidP="003E41D8">
      <w:pPr>
        <w:shd w:val="clear" w:color="auto" w:fill="FFFFFF"/>
        <w:spacing w:before="100" w:beforeAutospacing="1" w:after="100" w:afterAutospacing="1" w:line="240" w:lineRule="auto"/>
        <w:jc w:val="both"/>
        <w:rPr>
          <w:rFonts w:ascii="Cambria" w:hAnsi="Cambria" w:cs="Arial"/>
          <w:color w:val="222222"/>
        </w:rPr>
      </w:pPr>
      <w:r w:rsidRPr="003E41D8">
        <w:rPr>
          <w:rFonts w:ascii="Cambria" w:hAnsi="Cambria" w:cs="Arial"/>
          <w:color w:val="222222"/>
        </w:rPr>
        <w:t>Adicionalmente, el público en general puede consultar en la página web de la Sugef (</w:t>
      </w:r>
      <w:hyperlink r:id="rId8" w:history="1">
        <w:r w:rsidRPr="003E41D8">
          <w:rPr>
            <w:rStyle w:val="Hipervnculo"/>
            <w:rFonts w:ascii="Cambria" w:hAnsi="Cambria" w:cs="Arial"/>
          </w:rPr>
          <w:t>www.sugef.fi.cr</w:t>
        </w:r>
      </w:hyperlink>
      <w:r w:rsidRPr="003E41D8">
        <w:rPr>
          <w:rFonts w:ascii="Cambria" w:hAnsi="Cambria" w:cs="Arial"/>
          <w:color w:val="222222"/>
        </w:rPr>
        <w:t>) la lista actualizada de las entidades sujetas a fiscalización de este Órgano de Supervisión.</w:t>
      </w:r>
    </w:p>
    <w:p w14:paraId="7FFD3356" w14:textId="30455EE3" w:rsidR="007917D5" w:rsidRPr="007917D5" w:rsidRDefault="007917D5" w:rsidP="003270B7">
      <w:pPr>
        <w:shd w:val="clear" w:color="auto" w:fill="FFFFFF"/>
        <w:spacing w:after="100" w:afterAutospacing="1"/>
        <w:jc w:val="both"/>
        <w:rPr>
          <w:rFonts w:asciiTheme="majorHAnsi" w:hAnsiTheme="majorHAnsi" w:cs="Arial"/>
          <w:b/>
          <w:color w:val="222222"/>
        </w:rPr>
      </w:pPr>
      <w:r w:rsidRPr="007917D5">
        <w:rPr>
          <w:rFonts w:asciiTheme="majorHAnsi" w:hAnsiTheme="majorHAnsi" w:cs="Arial"/>
          <w:b/>
          <w:color w:val="222222"/>
        </w:rPr>
        <w:lastRenderedPageBreak/>
        <w:t>Intermediación financiera sin autorización:</w:t>
      </w:r>
    </w:p>
    <w:p w14:paraId="0648B8CC" w14:textId="77777777" w:rsidR="003477FD" w:rsidRDefault="007917D5" w:rsidP="007917D5">
      <w:pPr>
        <w:spacing w:before="100" w:beforeAutospacing="1" w:after="100" w:afterAutospacing="1" w:line="240" w:lineRule="auto"/>
        <w:jc w:val="both"/>
        <w:rPr>
          <w:rFonts w:asciiTheme="majorHAnsi" w:eastAsia="Times New Roman" w:hAnsiTheme="majorHAnsi" w:cs="Times New Roman"/>
          <w:color w:val="000000"/>
          <w:lang w:eastAsia="es-CR"/>
        </w:rPr>
      </w:pPr>
      <w:r w:rsidRPr="007917D5">
        <w:rPr>
          <w:rFonts w:asciiTheme="majorHAnsi" w:eastAsia="Times New Roman" w:hAnsiTheme="majorHAnsi" w:cs="Times New Roman"/>
          <w:color w:val="000000"/>
          <w:lang w:eastAsia="es-CR"/>
        </w:rPr>
        <w:t xml:space="preserve">En el artículo 156 de la misma Ley, se establece que la Superintendencia deberá velar porque en el territorio costarricense no operen personas naturales o jurídicas, cualquiera que sea su domicilio legal o lugar de operación, que de manera habitual y a cualquier título realicen actividades de intermediación financiera, de captación de recursos de terceros u operaciones cambiarias sin autorización. </w:t>
      </w:r>
    </w:p>
    <w:p w14:paraId="04B36C35" w14:textId="2EE61FFC" w:rsidR="007917D5" w:rsidRPr="007917D5" w:rsidRDefault="007917D5" w:rsidP="007917D5">
      <w:pPr>
        <w:spacing w:before="100" w:beforeAutospacing="1" w:after="100" w:afterAutospacing="1" w:line="240" w:lineRule="auto"/>
        <w:jc w:val="both"/>
        <w:rPr>
          <w:rFonts w:asciiTheme="majorHAnsi" w:eastAsia="Times New Roman" w:hAnsiTheme="majorHAnsi" w:cs="Times New Roman"/>
          <w:color w:val="000000"/>
          <w:lang w:eastAsia="es-CR"/>
        </w:rPr>
      </w:pPr>
      <w:r w:rsidRPr="007917D5">
        <w:rPr>
          <w:rFonts w:asciiTheme="majorHAnsi" w:eastAsia="Times New Roman" w:hAnsiTheme="majorHAnsi" w:cs="Times New Roman"/>
          <w:color w:val="000000"/>
          <w:lang w:eastAsia="es-CR"/>
        </w:rPr>
        <w:t>Como medida precautoria, la Superintendencia, cuando así lo autorice una autoridad judicial, dispondrá la clausura de las oficinas en donde se estuviese realizando esa clase de actividades, para lo cual podrá requerir el auxilio de la Fuerza Pública.</w:t>
      </w:r>
    </w:p>
    <w:p w14:paraId="3A0E7119" w14:textId="147CA94C" w:rsidR="007917D5" w:rsidRPr="007917D5" w:rsidRDefault="007917D5" w:rsidP="007917D5">
      <w:pPr>
        <w:spacing w:before="100" w:beforeAutospacing="1" w:after="100" w:afterAutospacing="1" w:line="240" w:lineRule="auto"/>
        <w:jc w:val="both"/>
        <w:rPr>
          <w:rFonts w:asciiTheme="majorHAnsi" w:eastAsia="Times New Roman" w:hAnsiTheme="majorHAnsi" w:cs="Times New Roman"/>
          <w:color w:val="000000"/>
          <w:lang w:eastAsia="es-CR"/>
        </w:rPr>
      </w:pPr>
      <w:r w:rsidRPr="007917D5">
        <w:rPr>
          <w:rFonts w:asciiTheme="majorHAnsi" w:eastAsia="Times New Roman" w:hAnsiTheme="majorHAnsi" w:cs="Times New Roman"/>
          <w:color w:val="000000"/>
          <w:lang w:eastAsia="es-CR"/>
        </w:rPr>
        <w:t>Cuando a juicio del Superintendente, existan indicios fundados de que una persona, física o jurídica, está realizando ilegalmente actividades de las mencionadas en este artículo, la Superintendencia tendrá, respecto de los presuntos infractores, las mismas facultades de inspección que de acuerdo con esta ley, le corresponden respecto de las entidades fiscalizadas.</w:t>
      </w:r>
    </w:p>
    <w:p w14:paraId="3CCECCB6" w14:textId="1EAA3E74" w:rsidR="003477FD" w:rsidRPr="003477FD" w:rsidRDefault="003477FD" w:rsidP="003477FD">
      <w:pPr>
        <w:pStyle w:val="NormalWeb"/>
        <w:jc w:val="both"/>
        <w:rPr>
          <w:rFonts w:asciiTheme="majorHAnsi" w:hAnsiTheme="majorHAnsi"/>
          <w:color w:val="000000"/>
          <w:sz w:val="22"/>
          <w:szCs w:val="22"/>
        </w:rPr>
      </w:pPr>
      <w:r w:rsidRPr="003477FD">
        <w:rPr>
          <w:rFonts w:asciiTheme="majorHAnsi" w:hAnsiTheme="majorHAnsi" w:cs="Arial"/>
          <w:color w:val="222222"/>
          <w:sz w:val="22"/>
          <w:szCs w:val="22"/>
        </w:rPr>
        <w:t>El artículo 157 de dicha ley establece penas de prisión en los siguientes casos:</w:t>
      </w:r>
    </w:p>
    <w:p w14:paraId="0B8CE0DD" w14:textId="0758B173" w:rsidR="003477FD" w:rsidRPr="003477FD" w:rsidRDefault="003477FD" w:rsidP="003477FD">
      <w:pPr>
        <w:spacing w:before="100" w:beforeAutospacing="1" w:after="100" w:afterAutospacing="1" w:line="240" w:lineRule="auto"/>
        <w:jc w:val="both"/>
        <w:rPr>
          <w:rFonts w:asciiTheme="majorHAnsi" w:eastAsia="Times New Roman" w:hAnsiTheme="majorHAnsi" w:cs="Times New Roman"/>
          <w:color w:val="000000"/>
          <w:lang w:eastAsia="es-CR"/>
        </w:rPr>
      </w:pPr>
      <w:r w:rsidRPr="003477FD">
        <w:rPr>
          <w:rFonts w:asciiTheme="majorHAnsi" w:eastAsia="Times New Roman" w:hAnsiTheme="majorHAnsi" w:cs="Times New Roman"/>
          <w:color w:val="000000"/>
          <w:lang w:eastAsia="es-CR"/>
        </w:rPr>
        <w:t>Será sancionado, con pena de prisión de tres a seis años, el que:</w:t>
      </w:r>
    </w:p>
    <w:p w14:paraId="789A90FC" w14:textId="313254FC" w:rsidR="003477FD" w:rsidRPr="003477FD" w:rsidRDefault="003477FD" w:rsidP="003477FD">
      <w:pPr>
        <w:spacing w:after="0" w:line="240" w:lineRule="auto"/>
        <w:ind w:left="708"/>
        <w:jc w:val="both"/>
        <w:rPr>
          <w:rFonts w:asciiTheme="majorHAnsi" w:eastAsia="Times New Roman" w:hAnsiTheme="majorHAnsi" w:cs="Times New Roman"/>
          <w:color w:val="000000"/>
          <w:lang w:eastAsia="es-CR"/>
        </w:rPr>
      </w:pPr>
      <w:r w:rsidRPr="003477FD">
        <w:rPr>
          <w:rFonts w:asciiTheme="majorHAnsi" w:eastAsia="Times New Roman" w:hAnsiTheme="majorHAnsi" w:cs="Times New Roman"/>
          <w:color w:val="000000"/>
          <w:lang w:eastAsia="es-CR"/>
        </w:rPr>
        <w:t>a) Realice intermediación financiera sin estar autorizado.</w:t>
      </w:r>
    </w:p>
    <w:p w14:paraId="4414D477" w14:textId="34FA5CF1" w:rsidR="003477FD" w:rsidRPr="003477FD" w:rsidRDefault="003477FD" w:rsidP="003477FD">
      <w:pPr>
        <w:spacing w:after="0" w:line="240" w:lineRule="auto"/>
        <w:ind w:left="708"/>
        <w:jc w:val="both"/>
        <w:rPr>
          <w:rFonts w:asciiTheme="majorHAnsi" w:eastAsia="Times New Roman" w:hAnsiTheme="majorHAnsi" w:cs="Times New Roman"/>
          <w:color w:val="000000"/>
          <w:lang w:eastAsia="es-CR"/>
        </w:rPr>
      </w:pPr>
      <w:r w:rsidRPr="003477FD">
        <w:rPr>
          <w:rFonts w:asciiTheme="majorHAnsi" w:eastAsia="Times New Roman" w:hAnsiTheme="majorHAnsi" w:cs="Times New Roman"/>
          <w:color w:val="000000"/>
          <w:lang w:eastAsia="es-CR"/>
        </w:rPr>
        <w:t>b) Permita o autorice que, en sus oficinas, se realicen tales actividades no autorizadas.</w:t>
      </w:r>
    </w:p>
    <w:p w14:paraId="026CBDF8" w14:textId="1674F6AD" w:rsidR="003477FD" w:rsidRPr="003477FD" w:rsidRDefault="003477FD" w:rsidP="003477FD">
      <w:pPr>
        <w:spacing w:before="100" w:beforeAutospacing="1" w:after="100" w:afterAutospacing="1" w:line="240" w:lineRule="auto"/>
        <w:jc w:val="both"/>
        <w:rPr>
          <w:rFonts w:asciiTheme="majorHAnsi" w:eastAsia="Times New Roman" w:hAnsiTheme="majorHAnsi" w:cs="Times New Roman"/>
          <w:color w:val="000000"/>
          <w:lang w:eastAsia="es-CR"/>
        </w:rPr>
      </w:pPr>
      <w:r w:rsidRPr="003477FD">
        <w:rPr>
          <w:rFonts w:asciiTheme="majorHAnsi" w:eastAsia="Times New Roman" w:hAnsiTheme="majorHAnsi" w:cs="Times New Roman"/>
          <w:color w:val="000000"/>
          <w:lang w:eastAsia="es-CR"/>
        </w:rPr>
        <w:t>La entidad autorizada que permita o autorice los hechos a que se refiere el inciso b) será solidariamente responsable de los daños y perjuicios causados.</w:t>
      </w:r>
    </w:p>
    <w:p w14:paraId="2AF2BCFE" w14:textId="40D183F0" w:rsidR="007937E5" w:rsidRPr="007917D5" w:rsidRDefault="007937E5" w:rsidP="007937E5">
      <w:pPr>
        <w:shd w:val="clear" w:color="auto" w:fill="FFFFFF"/>
        <w:spacing w:after="100" w:afterAutospacing="1"/>
        <w:jc w:val="both"/>
        <w:rPr>
          <w:rFonts w:asciiTheme="majorHAnsi" w:hAnsiTheme="majorHAnsi" w:cs="Arial"/>
          <w:b/>
          <w:color w:val="222222"/>
        </w:rPr>
      </w:pPr>
      <w:r w:rsidRPr="007917D5">
        <w:rPr>
          <w:rFonts w:asciiTheme="majorHAnsi" w:hAnsiTheme="majorHAnsi" w:cs="Arial"/>
          <w:b/>
          <w:color w:val="222222"/>
        </w:rPr>
        <w:t xml:space="preserve">Intermediación </w:t>
      </w:r>
      <w:r>
        <w:rPr>
          <w:rFonts w:asciiTheme="majorHAnsi" w:hAnsiTheme="majorHAnsi" w:cs="Arial"/>
          <w:b/>
          <w:color w:val="222222"/>
        </w:rPr>
        <w:t xml:space="preserve">cambiaria </w:t>
      </w:r>
      <w:r w:rsidRPr="007917D5">
        <w:rPr>
          <w:rFonts w:asciiTheme="majorHAnsi" w:hAnsiTheme="majorHAnsi" w:cs="Arial"/>
          <w:b/>
          <w:color w:val="222222"/>
        </w:rPr>
        <w:t>sin autorización:</w:t>
      </w:r>
    </w:p>
    <w:p w14:paraId="6D4CD7D2" w14:textId="78AA6909" w:rsidR="007937E5" w:rsidRPr="007937E5" w:rsidRDefault="007937E5" w:rsidP="007937E5">
      <w:pPr>
        <w:spacing w:before="100" w:beforeAutospacing="1" w:after="100" w:afterAutospacing="1" w:line="240" w:lineRule="auto"/>
        <w:jc w:val="both"/>
        <w:rPr>
          <w:rFonts w:asciiTheme="majorHAnsi" w:eastAsia="Times New Roman" w:hAnsiTheme="majorHAnsi" w:cs="Times New Roman"/>
          <w:color w:val="000000"/>
          <w:lang w:eastAsia="es-CR"/>
        </w:rPr>
      </w:pPr>
      <w:r w:rsidRPr="002D2774">
        <w:rPr>
          <w:rFonts w:asciiTheme="majorHAnsi" w:eastAsia="Times New Roman" w:hAnsiTheme="majorHAnsi" w:cs="Times New Roman"/>
          <w:color w:val="000000"/>
          <w:lang w:eastAsia="es-CR"/>
        </w:rPr>
        <w:t>El a</w:t>
      </w:r>
      <w:r w:rsidRPr="007937E5">
        <w:rPr>
          <w:rFonts w:asciiTheme="majorHAnsi" w:eastAsia="Times New Roman" w:hAnsiTheme="majorHAnsi" w:cs="Times New Roman"/>
          <w:color w:val="000000"/>
          <w:lang w:eastAsia="es-CR"/>
        </w:rPr>
        <w:t>rtículo 86</w:t>
      </w:r>
      <w:r w:rsidRPr="002D2774">
        <w:rPr>
          <w:rFonts w:asciiTheme="majorHAnsi" w:eastAsia="Times New Roman" w:hAnsiTheme="majorHAnsi" w:cs="Times New Roman"/>
          <w:color w:val="000000"/>
          <w:lang w:eastAsia="es-CR"/>
        </w:rPr>
        <w:t xml:space="preserve"> de la misma Ley 7558, detalla la </w:t>
      </w:r>
      <w:r w:rsidRPr="007937E5">
        <w:rPr>
          <w:rFonts w:asciiTheme="majorHAnsi" w:eastAsia="Times New Roman" w:hAnsiTheme="majorHAnsi" w:cs="Times New Roman"/>
          <w:b/>
          <w:bCs/>
          <w:color w:val="000000"/>
          <w:lang w:eastAsia="es-CR"/>
        </w:rPr>
        <w:t>Autorización y requisito</w:t>
      </w:r>
      <w:r w:rsidR="002D2774" w:rsidRPr="002D2774">
        <w:rPr>
          <w:rFonts w:asciiTheme="majorHAnsi" w:eastAsia="Times New Roman" w:hAnsiTheme="majorHAnsi" w:cs="Times New Roman"/>
          <w:b/>
          <w:bCs/>
          <w:color w:val="000000"/>
          <w:lang w:eastAsia="es-CR"/>
        </w:rPr>
        <w:t>s</w:t>
      </w:r>
      <w:r w:rsidRPr="007937E5">
        <w:rPr>
          <w:rFonts w:asciiTheme="majorHAnsi" w:eastAsia="Times New Roman" w:hAnsiTheme="majorHAnsi" w:cs="Times New Roman"/>
          <w:b/>
          <w:bCs/>
          <w:color w:val="000000"/>
          <w:lang w:eastAsia="es-CR"/>
        </w:rPr>
        <w:t xml:space="preserve"> para negociar divisas</w:t>
      </w:r>
      <w:r w:rsidR="002D2774" w:rsidRPr="002D2774">
        <w:rPr>
          <w:rFonts w:asciiTheme="majorHAnsi" w:eastAsia="Times New Roman" w:hAnsiTheme="majorHAnsi" w:cs="Times New Roman"/>
          <w:b/>
          <w:bCs/>
          <w:color w:val="000000"/>
          <w:lang w:eastAsia="es-CR"/>
        </w:rPr>
        <w:t xml:space="preserve">, indicando que l </w:t>
      </w:r>
      <w:r w:rsidRPr="007937E5">
        <w:rPr>
          <w:rFonts w:asciiTheme="majorHAnsi" w:eastAsia="Times New Roman" w:hAnsiTheme="majorHAnsi" w:cs="Times New Roman"/>
          <w:color w:val="000000"/>
          <w:lang w:eastAsia="es-CR"/>
        </w:rPr>
        <w:t>La negociación de divisas en el territorio nacional se realizará por medio del Banco Central, de las entidades financieras supervisadas por la Superintendencia y por otras que autorice la Junta Directiva del Banco Central.</w:t>
      </w:r>
    </w:p>
    <w:p w14:paraId="0860C386" w14:textId="3C8C752E" w:rsidR="007937E5" w:rsidRPr="007937E5" w:rsidRDefault="007937E5" w:rsidP="007937E5">
      <w:pPr>
        <w:spacing w:before="100" w:beforeAutospacing="1" w:after="100" w:afterAutospacing="1" w:line="240" w:lineRule="auto"/>
        <w:jc w:val="both"/>
        <w:rPr>
          <w:rFonts w:asciiTheme="majorHAnsi" w:eastAsia="Times New Roman" w:hAnsiTheme="majorHAnsi" w:cs="Times New Roman"/>
          <w:color w:val="000000"/>
          <w:lang w:eastAsia="es-CR"/>
        </w:rPr>
      </w:pPr>
      <w:r w:rsidRPr="007937E5">
        <w:rPr>
          <w:rFonts w:asciiTheme="majorHAnsi" w:eastAsia="Times New Roman" w:hAnsiTheme="majorHAnsi" w:cs="Times New Roman"/>
          <w:color w:val="000000"/>
          <w:lang w:eastAsia="es-CR"/>
        </w:rPr>
        <w:t>Las entidades financieras supervisadas por la Superintendencia, que participen en el mercado cambiario, deben cumplir con los siguientes requisitos:</w:t>
      </w:r>
    </w:p>
    <w:p w14:paraId="533FC2DA" w14:textId="737849BD" w:rsidR="007937E5" w:rsidRPr="007937E5" w:rsidRDefault="007937E5" w:rsidP="002D2774">
      <w:pPr>
        <w:spacing w:after="120" w:line="240" w:lineRule="auto"/>
        <w:ind w:left="709"/>
        <w:jc w:val="both"/>
        <w:rPr>
          <w:rFonts w:asciiTheme="majorHAnsi" w:eastAsia="Times New Roman" w:hAnsiTheme="majorHAnsi" w:cs="Times New Roman"/>
          <w:color w:val="000000"/>
          <w:lang w:eastAsia="es-CR"/>
        </w:rPr>
      </w:pPr>
      <w:r w:rsidRPr="007937E5">
        <w:rPr>
          <w:rFonts w:asciiTheme="majorHAnsi" w:eastAsia="Times New Roman" w:hAnsiTheme="majorHAnsi" w:cs="Times New Roman"/>
          <w:color w:val="000000"/>
          <w:lang w:eastAsia="es-CR"/>
        </w:rPr>
        <w:t>a) Participar, por su propio riesgo y exclusivamente como simples intermediarios entre compradores y vendedores de divisas.</w:t>
      </w:r>
    </w:p>
    <w:p w14:paraId="698AC5D9" w14:textId="68B1C44E" w:rsidR="007937E5" w:rsidRPr="007937E5" w:rsidRDefault="007937E5" w:rsidP="002D2774">
      <w:pPr>
        <w:spacing w:after="120" w:line="240" w:lineRule="auto"/>
        <w:ind w:left="709"/>
        <w:jc w:val="both"/>
        <w:rPr>
          <w:rFonts w:asciiTheme="majorHAnsi" w:eastAsia="Times New Roman" w:hAnsiTheme="majorHAnsi" w:cs="Times New Roman"/>
          <w:color w:val="000000"/>
          <w:lang w:eastAsia="es-CR"/>
        </w:rPr>
      </w:pPr>
      <w:r w:rsidRPr="007937E5">
        <w:rPr>
          <w:rFonts w:asciiTheme="majorHAnsi" w:eastAsia="Times New Roman" w:hAnsiTheme="majorHAnsi" w:cs="Times New Roman"/>
          <w:color w:val="000000"/>
          <w:lang w:eastAsia="es-CR"/>
        </w:rPr>
        <w:t>b) Suministrar toda la información sobre transacciones cambiarias que solicite el Banco Central, sin excepción, en la forma, las condiciones y con los pormenores que este exija.</w:t>
      </w:r>
    </w:p>
    <w:p w14:paraId="05E109CB" w14:textId="14D24911" w:rsidR="007937E5" w:rsidRPr="007937E5" w:rsidRDefault="007937E5" w:rsidP="002D2774">
      <w:pPr>
        <w:spacing w:after="120" w:line="240" w:lineRule="auto"/>
        <w:ind w:left="709"/>
        <w:jc w:val="both"/>
        <w:rPr>
          <w:rFonts w:asciiTheme="majorHAnsi" w:eastAsia="Times New Roman" w:hAnsiTheme="majorHAnsi" w:cs="Times New Roman"/>
          <w:color w:val="000000"/>
          <w:lang w:eastAsia="es-CR"/>
        </w:rPr>
      </w:pPr>
      <w:r w:rsidRPr="007937E5">
        <w:rPr>
          <w:rFonts w:asciiTheme="majorHAnsi" w:eastAsia="Times New Roman" w:hAnsiTheme="majorHAnsi" w:cs="Times New Roman"/>
          <w:color w:val="000000"/>
          <w:lang w:eastAsia="es-CR"/>
        </w:rPr>
        <w:t xml:space="preserve"> c) Someterse a las regulaciones sobre procedimientos que dicte la Junta Directiva del Banco Central.</w:t>
      </w:r>
    </w:p>
    <w:p w14:paraId="5A411E46" w14:textId="557108B9" w:rsidR="007937E5" w:rsidRPr="007937E5" w:rsidRDefault="007937E5" w:rsidP="007937E5">
      <w:pPr>
        <w:spacing w:before="100" w:beforeAutospacing="1" w:after="100" w:afterAutospacing="1" w:line="240" w:lineRule="auto"/>
        <w:jc w:val="both"/>
        <w:rPr>
          <w:rFonts w:asciiTheme="majorHAnsi" w:eastAsia="Times New Roman" w:hAnsiTheme="majorHAnsi" w:cs="Times New Roman"/>
          <w:color w:val="000000"/>
          <w:lang w:eastAsia="es-CR"/>
        </w:rPr>
      </w:pPr>
      <w:r w:rsidRPr="007937E5">
        <w:rPr>
          <w:rFonts w:asciiTheme="majorHAnsi" w:eastAsia="Times New Roman" w:hAnsiTheme="majorHAnsi" w:cs="Times New Roman"/>
          <w:color w:val="000000"/>
          <w:lang w:eastAsia="es-CR"/>
        </w:rPr>
        <w:lastRenderedPageBreak/>
        <w:t>Adicionalmente, la Junta Directiva del Banco Central, con el voto de por lo menos cinco de sus miembros, podrá autorizar a otros entes o empresas a participar en el mercado cambiario, siempre y cuando, además de los requisitos anteriores, cumplan con los siguientes:</w:t>
      </w:r>
    </w:p>
    <w:p w14:paraId="3B77951A" w14:textId="6C688828" w:rsidR="007937E5" w:rsidRPr="007937E5" w:rsidRDefault="007937E5" w:rsidP="002D2774">
      <w:pPr>
        <w:spacing w:after="120" w:line="240" w:lineRule="auto"/>
        <w:ind w:left="709"/>
        <w:jc w:val="both"/>
        <w:rPr>
          <w:rFonts w:asciiTheme="majorHAnsi" w:eastAsia="Times New Roman" w:hAnsiTheme="majorHAnsi" w:cs="Times New Roman"/>
          <w:color w:val="000000"/>
          <w:lang w:eastAsia="es-CR"/>
        </w:rPr>
      </w:pPr>
      <w:r w:rsidRPr="007937E5">
        <w:rPr>
          <w:rFonts w:asciiTheme="majorHAnsi" w:eastAsia="Times New Roman" w:hAnsiTheme="majorHAnsi" w:cs="Times New Roman"/>
          <w:color w:val="000000"/>
          <w:lang w:eastAsia="es-CR"/>
        </w:rPr>
        <w:t>a) Someterse a la supervisión que establezca la Superintendencia de Entidades Financieras para verificar el cumplimiento de la normativa cambiaria.</w:t>
      </w:r>
    </w:p>
    <w:p w14:paraId="102A30AE" w14:textId="013C5667" w:rsidR="007937E5" w:rsidRPr="007937E5" w:rsidRDefault="007937E5" w:rsidP="002D2774">
      <w:pPr>
        <w:spacing w:after="120" w:line="240" w:lineRule="auto"/>
        <w:ind w:left="709"/>
        <w:jc w:val="both"/>
        <w:rPr>
          <w:rFonts w:asciiTheme="majorHAnsi" w:eastAsia="Times New Roman" w:hAnsiTheme="majorHAnsi" w:cs="Times New Roman"/>
          <w:color w:val="000000"/>
          <w:lang w:eastAsia="es-CR"/>
        </w:rPr>
      </w:pPr>
      <w:r w:rsidRPr="007937E5">
        <w:rPr>
          <w:rFonts w:asciiTheme="majorHAnsi" w:eastAsia="Times New Roman" w:hAnsiTheme="majorHAnsi" w:cs="Times New Roman"/>
          <w:color w:val="000000"/>
          <w:lang w:eastAsia="es-CR"/>
        </w:rPr>
        <w:t>b) Rendir garantía de acuerdo con las disposiciones que el Banco Central dicte.</w:t>
      </w:r>
    </w:p>
    <w:p w14:paraId="639B213C" w14:textId="46DE24EB" w:rsidR="007917D5" w:rsidRPr="002D2774" w:rsidRDefault="002D2774" w:rsidP="002D2774">
      <w:pPr>
        <w:shd w:val="clear" w:color="auto" w:fill="FFFFFF"/>
        <w:spacing w:before="100" w:beforeAutospacing="1" w:after="100" w:afterAutospacing="1"/>
        <w:jc w:val="both"/>
        <w:rPr>
          <w:rFonts w:asciiTheme="majorHAnsi" w:hAnsiTheme="majorHAnsi" w:cs="Arial"/>
          <w:color w:val="222222"/>
        </w:rPr>
      </w:pPr>
      <w:r w:rsidRPr="002D2774">
        <w:rPr>
          <w:rFonts w:asciiTheme="majorHAnsi" w:hAnsiTheme="majorHAnsi" w:cs="Arial"/>
          <w:color w:val="222222"/>
        </w:rPr>
        <w:t xml:space="preserve">El artículo 92  esa misma Ley establece la Represión para infractores del artículo anterior, según el siguiente detalle: </w:t>
      </w:r>
    </w:p>
    <w:p w14:paraId="0DC91059" w14:textId="682BBC38" w:rsidR="002D2774" w:rsidRPr="002D2774" w:rsidRDefault="002D2774" w:rsidP="002D2774">
      <w:pPr>
        <w:spacing w:before="100" w:beforeAutospacing="1" w:after="100" w:afterAutospacing="1" w:line="240" w:lineRule="auto"/>
        <w:jc w:val="both"/>
        <w:rPr>
          <w:rFonts w:asciiTheme="majorHAnsi" w:eastAsia="Times New Roman" w:hAnsiTheme="majorHAnsi" w:cs="Times New Roman"/>
          <w:color w:val="000000"/>
          <w:lang w:eastAsia="es-CR"/>
        </w:rPr>
      </w:pPr>
      <w:r w:rsidRPr="002D2774">
        <w:rPr>
          <w:rFonts w:asciiTheme="majorHAnsi" w:eastAsia="Times New Roman" w:hAnsiTheme="majorHAnsi" w:cs="Times New Roman"/>
          <w:color w:val="000000"/>
          <w:lang w:eastAsia="es-CR"/>
        </w:rPr>
        <w:t>Será reprimida con el pago de un veinticinco por ciento (25%) del monto total negociado, la persona física o jurídica que:</w:t>
      </w:r>
    </w:p>
    <w:p w14:paraId="060EDB94" w14:textId="255D7081" w:rsidR="002D2774" w:rsidRPr="002D2774" w:rsidRDefault="002D2774" w:rsidP="002D2774">
      <w:pPr>
        <w:spacing w:after="120" w:line="240" w:lineRule="auto"/>
        <w:ind w:left="708"/>
        <w:jc w:val="both"/>
        <w:rPr>
          <w:rFonts w:asciiTheme="majorHAnsi" w:eastAsia="Times New Roman" w:hAnsiTheme="majorHAnsi" w:cs="Times New Roman"/>
          <w:color w:val="000000"/>
          <w:lang w:eastAsia="es-CR"/>
        </w:rPr>
      </w:pPr>
      <w:r w:rsidRPr="002D2774">
        <w:rPr>
          <w:rFonts w:asciiTheme="majorHAnsi" w:eastAsia="Times New Roman" w:hAnsiTheme="majorHAnsi" w:cs="Times New Roman"/>
          <w:color w:val="000000"/>
          <w:lang w:eastAsia="es-CR"/>
        </w:rPr>
        <w:t>a) Comprare o vendiere divisas o participare, en cualquier forma, en transacciones de mercado cambiario, sin autorización legal o del Banco Central.</w:t>
      </w:r>
    </w:p>
    <w:p w14:paraId="451BAE31" w14:textId="62A16D6B" w:rsidR="002D2774" w:rsidRPr="002D2774" w:rsidRDefault="002D2774" w:rsidP="002D2774">
      <w:pPr>
        <w:spacing w:after="120" w:line="240" w:lineRule="auto"/>
        <w:ind w:left="708"/>
        <w:jc w:val="both"/>
        <w:rPr>
          <w:rFonts w:asciiTheme="majorHAnsi" w:eastAsia="Times New Roman" w:hAnsiTheme="majorHAnsi" w:cs="Times New Roman"/>
          <w:color w:val="000000"/>
          <w:lang w:eastAsia="es-CR"/>
        </w:rPr>
      </w:pPr>
      <w:r w:rsidRPr="002D2774">
        <w:rPr>
          <w:rFonts w:asciiTheme="majorHAnsi" w:eastAsia="Times New Roman" w:hAnsiTheme="majorHAnsi" w:cs="Times New Roman"/>
          <w:color w:val="000000"/>
          <w:lang w:eastAsia="es-CR"/>
        </w:rPr>
        <w:t>b) Teniendo autorización legal o del Banco Central para participar en el mercado cambiario, retenga o acumule, injustificadamente, saldos en divisas fuera del término establecido por el Banco Central.</w:t>
      </w:r>
    </w:p>
    <w:p w14:paraId="7554A2DA" w14:textId="0879FEA7" w:rsidR="002D2774" w:rsidRPr="002D2774" w:rsidRDefault="002D2774" w:rsidP="002D2774">
      <w:pPr>
        <w:spacing w:after="120" w:line="240" w:lineRule="auto"/>
        <w:ind w:left="708"/>
        <w:jc w:val="both"/>
        <w:rPr>
          <w:rFonts w:asciiTheme="majorHAnsi" w:eastAsia="Times New Roman" w:hAnsiTheme="majorHAnsi" w:cs="Times New Roman"/>
          <w:color w:val="000000"/>
          <w:lang w:eastAsia="es-CR"/>
        </w:rPr>
      </w:pPr>
      <w:r w:rsidRPr="002D2774">
        <w:rPr>
          <w:rFonts w:asciiTheme="majorHAnsi" w:eastAsia="Times New Roman" w:hAnsiTheme="majorHAnsi" w:cs="Times New Roman"/>
          <w:color w:val="000000"/>
          <w:lang w:eastAsia="es-CR"/>
        </w:rPr>
        <w:t>c) Al recibir divisas por concepto de exportaciones de bienes y servicios, no las negocie en las condiciones y los plazos establecidos por el Banco Central, o no declare a este el monto real de las divisas percibidas por ese concepto.</w:t>
      </w:r>
    </w:p>
    <w:p w14:paraId="3BB50548" w14:textId="78B46382" w:rsidR="002D2774" w:rsidRPr="002D2774" w:rsidRDefault="002D2774" w:rsidP="002D2774">
      <w:pPr>
        <w:spacing w:after="120" w:line="240" w:lineRule="auto"/>
        <w:ind w:left="708"/>
        <w:jc w:val="both"/>
        <w:rPr>
          <w:rFonts w:asciiTheme="majorHAnsi" w:eastAsia="Times New Roman" w:hAnsiTheme="majorHAnsi" w:cs="Times New Roman"/>
          <w:color w:val="000000"/>
          <w:lang w:eastAsia="es-CR"/>
        </w:rPr>
      </w:pPr>
      <w:r w:rsidRPr="002D2774">
        <w:rPr>
          <w:rFonts w:asciiTheme="majorHAnsi" w:eastAsia="Times New Roman" w:hAnsiTheme="majorHAnsi" w:cs="Times New Roman"/>
          <w:color w:val="000000"/>
          <w:lang w:eastAsia="es-CR"/>
        </w:rPr>
        <w:t>d) Mediante engaño, obtenga divisas del Banco Central o de las entidades autorizadas a participar en el mercado cambiario.</w:t>
      </w:r>
    </w:p>
    <w:p w14:paraId="2FA76E31" w14:textId="77777777" w:rsidR="007917D5" w:rsidRDefault="007917D5" w:rsidP="003270B7">
      <w:pPr>
        <w:shd w:val="clear" w:color="auto" w:fill="FFFFFF"/>
        <w:spacing w:after="100" w:afterAutospacing="1"/>
        <w:jc w:val="both"/>
        <w:rPr>
          <w:rFonts w:ascii="Arial" w:hAnsi="Arial" w:cs="Arial"/>
          <w:color w:val="222222"/>
          <w:sz w:val="23"/>
          <w:szCs w:val="23"/>
        </w:rPr>
      </w:pPr>
    </w:p>
    <w:p w14:paraId="453B22B2" w14:textId="16F77CD2" w:rsidR="007917D5" w:rsidRPr="00E23B5B" w:rsidRDefault="00E23B5B" w:rsidP="003270B7">
      <w:pPr>
        <w:shd w:val="clear" w:color="auto" w:fill="FFFFFF"/>
        <w:spacing w:after="100" w:afterAutospacing="1"/>
        <w:jc w:val="both"/>
        <w:rPr>
          <w:rFonts w:asciiTheme="majorHAnsi" w:hAnsiTheme="majorHAnsi" w:cs="Arial"/>
          <w:b/>
          <w:color w:val="222222"/>
          <w:sz w:val="23"/>
          <w:szCs w:val="23"/>
        </w:rPr>
      </w:pPr>
      <w:r w:rsidRPr="00E23B5B">
        <w:rPr>
          <w:rFonts w:asciiTheme="majorHAnsi" w:hAnsiTheme="majorHAnsi" w:cs="Arial"/>
          <w:b/>
          <w:color w:val="222222"/>
          <w:sz w:val="23"/>
          <w:szCs w:val="23"/>
        </w:rPr>
        <w:t>Uso de la palabra “Banco” sin autorización</w:t>
      </w:r>
    </w:p>
    <w:p w14:paraId="20592545" w14:textId="73D249D3" w:rsidR="00E23B5B" w:rsidRPr="00E23B5B" w:rsidRDefault="00E23B5B" w:rsidP="003270B7">
      <w:pPr>
        <w:shd w:val="clear" w:color="auto" w:fill="FFFFFF"/>
        <w:spacing w:after="100" w:afterAutospacing="1"/>
        <w:jc w:val="both"/>
        <w:rPr>
          <w:rFonts w:asciiTheme="majorHAnsi" w:hAnsiTheme="majorHAnsi" w:cs="Arial"/>
          <w:color w:val="222222"/>
          <w:sz w:val="23"/>
          <w:szCs w:val="23"/>
        </w:rPr>
      </w:pPr>
      <w:r w:rsidRPr="00E23B5B">
        <w:rPr>
          <w:rFonts w:asciiTheme="majorHAnsi" w:hAnsiTheme="majorHAnsi" w:cs="Arial"/>
          <w:color w:val="222222"/>
          <w:sz w:val="23"/>
          <w:szCs w:val="23"/>
        </w:rPr>
        <w:t>El artículo 7 de Ley 1644, Ley Orgánica del Sistema Financiero Nacional</w:t>
      </w:r>
      <w:r w:rsidR="009F1EC3">
        <w:rPr>
          <w:rFonts w:asciiTheme="majorHAnsi" w:hAnsiTheme="majorHAnsi" w:cs="Arial"/>
          <w:color w:val="222222"/>
          <w:sz w:val="23"/>
          <w:szCs w:val="23"/>
        </w:rPr>
        <w:t>,</w:t>
      </w:r>
      <w:r w:rsidRPr="00E23B5B">
        <w:rPr>
          <w:rFonts w:asciiTheme="majorHAnsi" w:hAnsiTheme="majorHAnsi" w:cs="Arial"/>
          <w:color w:val="222222"/>
          <w:sz w:val="23"/>
          <w:szCs w:val="23"/>
        </w:rPr>
        <w:t xml:space="preserve"> establece:</w:t>
      </w:r>
    </w:p>
    <w:p w14:paraId="1763C3A6" w14:textId="77777777" w:rsidR="00AC0A46" w:rsidRDefault="00AC0A46" w:rsidP="00AC0A46">
      <w:pPr>
        <w:pStyle w:val="NormalWeb"/>
        <w:jc w:val="both"/>
        <w:rPr>
          <w:rFonts w:ascii="Cambria" w:hAnsi="Cambria"/>
          <w:color w:val="000000"/>
          <w:sz w:val="22"/>
          <w:szCs w:val="22"/>
        </w:rPr>
      </w:pPr>
      <w:r w:rsidRPr="00AC0A46">
        <w:rPr>
          <w:rFonts w:ascii="Cambria" w:hAnsi="Cambria"/>
          <w:color w:val="000000"/>
          <w:sz w:val="22"/>
          <w:szCs w:val="22"/>
        </w:rPr>
        <w:t xml:space="preserve">Solamente los bancos establecidos conforme con lo dispuesto en esta ley podrán usar su nombre comercial en la descripción de sus negocios, en la papelería o en la publicidad, las palabras "banco", o "establecimiento bancario" o derivados de estos términos que califiquen sus actividades como de carácter bancario. </w:t>
      </w:r>
    </w:p>
    <w:p w14:paraId="369E76C1" w14:textId="69558873" w:rsidR="00AC0A46" w:rsidRPr="00AC0A46" w:rsidRDefault="00AC0A46" w:rsidP="00AC0A46">
      <w:pPr>
        <w:pStyle w:val="NormalWeb"/>
        <w:jc w:val="both"/>
        <w:rPr>
          <w:rFonts w:ascii="Cambria" w:hAnsi="Cambria"/>
          <w:color w:val="000000"/>
          <w:sz w:val="22"/>
          <w:szCs w:val="22"/>
        </w:rPr>
      </w:pPr>
      <w:r w:rsidRPr="00AC0A46">
        <w:rPr>
          <w:rFonts w:ascii="Cambria" w:hAnsi="Cambria"/>
          <w:color w:val="000000"/>
          <w:sz w:val="22"/>
          <w:szCs w:val="22"/>
        </w:rPr>
        <w:t xml:space="preserve">Toda persona natural o jurídica que contravenga esta disposición será requerida por el Superintendente General (*) de la Superintendencia General de Entidades </w:t>
      </w:r>
      <w:proofErr w:type="spellStart"/>
      <w:r w:rsidRPr="00AC0A46">
        <w:rPr>
          <w:rFonts w:ascii="Cambria" w:hAnsi="Cambria"/>
          <w:color w:val="000000"/>
          <w:sz w:val="22"/>
          <w:szCs w:val="22"/>
        </w:rPr>
        <w:t>Finacieras</w:t>
      </w:r>
      <w:proofErr w:type="spellEnd"/>
      <w:r w:rsidRPr="00AC0A46">
        <w:rPr>
          <w:rFonts w:ascii="Cambria" w:hAnsi="Cambria"/>
          <w:color w:val="000000"/>
          <w:sz w:val="22"/>
          <w:szCs w:val="22"/>
        </w:rPr>
        <w:t> </w:t>
      </w:r>
      <w:r w:rsidRPr="00AC0A46">
        <w:rPr>
          <w:rFonts w:ascii="Cambria" w:hAnsi="Cambria"/>
          <w:i/>
          <w:iCs/>
          <w:color w:val="000000"/>
          <w:sz w:val="22"/>
          <w:szCs w:val="22"/>
        </w:rPr>
        <w:t>(*)</w:t>
      </w:r>
      <w:r w:rsidRPr="00AC0A46">
        <w:rPr>
          <w:rFonts w:ascii="Cambria" w:hAnsi="Cambria"/>
          <w:color w:val="000000"/>
          <w:sz w:val="22"/>
          <w:szCs w:val="22"/>
        </w:rPr>
        <w:t>, mediante carta certificada, para que suspenda inmediatamente sus actividades ilegales. El infractor pagará una multa inicial de ¢1.851.128,28</w:t>
      </w:r>
      <w:r w:rsidRPr="00AC0A46">
        <w:rPr>
          <w:rFonts w:ascii="Cambria" w:hAnsi="Cambria"/>
          <w:i/>
          <w:iCs/>
          <w:color w:val="000000"/>
          <w:sz w:val="22"/>
          <w:szCs w:val="22"/>
        </w:rPr>
        <w:t>(*)</w:t>
      </w:r>
      <w:r w:rsidRPr="00AC0A46">
        <w:rPr>
          <w:rFonts w:ascii="Cambria" w:hAnsi="Cambria"/>
          <w:color w:val="000000"/>
          <w:sz w:val="22"/>
          <w:szCs w:val="22"/>
        </w:rPr>
        <w:t>, así como</w:t>
      </w:r>
      <w:r w:rsidRPr="00AC0A46">
        <w:rPr>
          <w:rFonts w:ascii="Cambria" w:hAnsi="Cambria"/>
          <w:i/>
          <w:iCs/>
          <w:color w:val="000000"/>
          <w:sz w:val="22"/>
          <w:szCs w:val="22"/>
        </w:rPr>
        <w:t> </w:t>
      </w:r>
      <w:r w:rsidRPr="00AC0A46">
        <w:rPr>
          <w:rFonts w:ascii="Cambria" w:hAnsi="Cambria"/>
          <w:color w:val="000000"/>
          <w:sz w:val="22"/>
          <w:szCs w:val="22"/>
        </w:rPr>
        <w:t>¢37.021,37</w:t>
      </w:r>
      <w:r w:rsidRPr="00AC0A46">
        <w:rPr>
          <w:rFonts w:ascii="Cambria" w:hAnsi="Cambria"/>
          <w:i/>
          <w:iCs/>
          <w:color w:val="000000"/>
          <w:sz w:val="22"/>
          <w:szCs w:val="22"/>
        </w:rPr>
        <w:t>(*)</w:t>
      </w:r>
      <w:r w:rsidRPr="00AC0A46">
        <w:rPr>
          <w:rFonts w:ascii="Cambria" w:hAnsi="Cambria"/>
          <w:color w:val="000000"/>
          <w:sz w:val="22"/>
          <w:szCs w:val="22"/>
        </w:rPr>
        <w:t> por cada día que continúe infringiendo la ley. Igual pena e iguales requisitos se aplicarán a cualquier persona natural o jurídica que ejecute o anuncie la ejecución de operaciones que, en virtud de las leyes respectivas, estén reservadas de modo exclusivo a las instituciones bancarias establecidas de conformidad con dichas leyes, sin perjuicio de las demás sanciones legales que les corresponda.</w:t>
      </w:r>
    </w:p>
    <w:p w14:paraId="24AEE35C" w14:textId="55813B6A" w:rsidR="00AC0A46" w:rsidRPr="00AC0A46" w:rsidRDefault="00196F18" w:rsidP="00AC0A46">
      <w:pPr>
        <w:pStyle w:val="NormalWeb"/>
        <w:jc w:val="both"/>
        <w:rPr>
          <w:rFonts w:asciiTheme="majorHAnsi" w:hAnsiTheme="majorHAnsi"/>
          <w:color w:val="000000"/>
          <w:sz w:val="22"/>
          <w:szCs w:val="22"/>
        </w:rPr>
      </w:pPr>
      <w:r>
        <w:rPr>
          <w:rFonts w:asciiTheme="majorHAnsi" w:hAnsiTheme="majorHAnsi"/>
          <w:color w:val="000000"/>
          <w:sz w:val="22"/>
          <w:szCs w:val="22"/>
        </w:rPr>
        <w:lastRenderedPageBreak/>
        <w:t>En caso de incumplimiento de lo</w:t>
      </w:r>
      <w:r w:rsidR="00AC0A46" w:rsidRPr="00AC0A46">
        <w:rPr>
          <w:rFonts w:asciiTheme="majorHAnsi" w:hAnsiTheme="majorHAnsi"/>
          <w:color w:val="000000"/>
          <w:sz w:val="22"/>
          <w:szCs w:val="22"/>
        </w:rPr>
        <w:t xml:space="preserve"> dispuesto en este artículo, la Superintendencia General de Entidades Financieras (*) ordenará el cierre inmediato del establecimiento. La orden respectiva será ejecutada por la Guardia Civil.</w:t>
      </w:r>
    </w:p>
    <w:p w14:paraId="640B8C65" w14:textId="642F4C22" w:rsidR="00AC0A46" w:rsidRPr="00196F18" w:rsidRDefault="00AC0A46" w:rsidP="00196F18">
      <w:pPr>
        <w:pStyle w:val="NormalWeb"/>
        <w:jc w:val="both"/>
        <w:rPr>
          <w:rFonts w:asciiTheme="majorHAnsi" w:hAnsiTheme="majorHAnsi"/>
          <w:color w:val="000000"/>
          <w:sz w:val="22"/>
          <w:szCs w:val="22"/>
        </w:rPr>
      </w:pPr>
      <w:r w:rsidRPr="00AC0A46">
        <w:rPr>
          <w:rFonts w:asciiTheme="majorHAnsi" w:hAnsiTheme="majorHAnsi"/>
          <w:color w:val="000000"/>
          <w:sz w:val="22"/>
          <w:szCs w:val="22"/>
        </w:rPr>
        <w:t xml:space="preserve">La certificación expedida por la Superintendencia General de Entidades </w:t>
      </w:r>
      <w:proofErr w:type="spellStart"/>
      <w:r w:rsidRPr="00AC0A46">
        <w:rPr>
          <w:rFonts w:asciiTheme="majorHAnsi" w:hAnsiTheme="majorHAnsi"/>
          <w:color w:val="000000"/>
          <w:sz w:val="22"/>
          <w:szCs w:val="22"/>
        </w:rPr>
        <w:t>Finacieras</w:t>
      </w:r>
      <w:proofErr w:type="spellEnd"/>
      <w:r w:rsidRPr="00AC0A46">
        <w:rPr>
          <w:rFonts w:asciiTheme="majorHAnsi" w:hAnsiTheme="majorHAnsi"/>
          <w:color w:val="000000"/>
          <w:sz w:val="22"/>
          <w:szCs w:val="22"/>
        </w:rPr>
        <w:t xml:space="preserve"> (*) constituye título ejecutivo. La Superintendencia General (*) </w:t>
      </w:r>
      <w:proofErr w:type="spellStart"/>
      <w:r w:rsidRPr="00AC0A46">
        <w:rPr>
          <w:rFonts w:asciiTheme="majorHAnsi" w:hAnsiTheme="majorHAnsi"/>
          <w:color w:val="000000"/>
          <w:sz w:val="22"/>
          <w:szCs w:val="22"/>
        </w:rPr>
        <w:t>revalorá</w:t>
      </w:r>
      <w:proofErr w:type="spellEnd"/>
      <w:r w:rsidRPr="00AC0A46">
        <w:rPr>
          <w:rFonts w:asciiTheme="majorHAnsi" w:hAnsiTheme="majorHAnsi"/>
          <w:color w:val="000000"/>
          <w:sz w:val="22"/>
          <w:szCs w:val="22"/>
        </w:rPr>
        <w:t xml:space="preserve"> los montos de las multas cada dos años, en la misma proporción que aumente el índice de precios que fije el Ministerio de Economía, Industria y Comercio.</w:t>
      </w:r>
    </w:p>
    <w:p w14:paraId="66F10F5D" w14:textId="0B43CC6F" w:rsidR="00196F18" w:rsidRPr="00E23B5B" w:rsidRDefault="00196F18" w:rsidP="00196F18">
      <w:pPr>
        <w:shd w:val="clear" w:color="auto" w:fill="FFFFFF"/>
        <w:spacing w:after="100" w:afterAutospacing="1"/>
        <w:jc w:val="both"/>
        <w:rPr>
          <w:rFonts w:asciiTheme="majorHAnsi" w:hAnsiTheme="majorHAnsi" w:cs="Arial"/>
          <w:b/>
          <w:color w:val="222222"/>
          <w:sz w:val="23"/>
          <w:szCs w:val="23"/>
        </w:rPr>
      </w:pPr>
      <w:r w:rsidRPr="00E23B5B">
        <w:rPr>
          <w:rFonts w:asciiTheme="majorHAnsi" w:hAnsiTheme="majorHAnsi" w:cs="Arial"/>
          <w:b/>
          <w:color w:val="222222"/>
          <w:sz w:val="23"/>
          <w:szCs w:val="23"/>
        </w:rPr>
        <w:t>Uso de la palabra “</w:t>
      </w:r>
      <w:r>
        <w:rPr>
          <w:rFonts w:asciiTheme="majorHAnsi" w:hAnsiTheme="majorHAnsi" w:cs="Arial"/>
          <w:b/>
          <w:color w:val="222222"/>
          <w:sz w:val="23"/>
          <w:szCs w:val="23"/>
        </w:rPr>
        <w:t>Financiera”</w:t>
      </w:r>
      <w:r w:rsidRPr="00E23B5B">
        <w:rPr>
          <w:rFonts w:asciiTheme="majorHAnsi" w:hAnsiTheme="majorHAnsi" w:cs="Arial"/>
          <w:b/>
          <w:color w:val="222222"/>
          <w:sz w:val="23"/>
          <w:szCs w:val="23"/>
        </w:rPr>
        <w:t xml:space="preserve"> sin autorización</w:t>
      </w:r>
    </w:p>
    <w:p w14:paraId="6C7332AC" w14:textId="082EE012" w:rsidR="00196F18" w:rsidRPr="004C4D5B" w:rsidRDefault="00196F18" w:rsidP="004C4D5B">
      <w:pPr>
        <w:shd w:val="clear" w:color="auto" w:fill="FFFFFF"/>
        <w:spacing w:before="100" w:beforeAutospacing="1" w:after="100" w:afterAutospacing="1" w:line="240" w:lineRule="auto"/>
        <w:jc w:val="both"/>
        <w:rPr>
          <w:rFonts w:asciiTheme="majorHAnsi" w:hAnsiTheme="majorHAnsi" w:cs="Arial"/>
          <w:color w:val="222222"/>
        </w:rPr>
      </w:pPr>
      <w:r w:rsidRPr="004C4D5B">
        <w:rPr>
          <w:rFonts w:asciiTheme="majorHAnsi" w:hAnsiTheme="majorHAnsi" w:cs="Arial"/>
          <w:color w:val="222222"/>
        </w:rPr>
        <w:t xml:space="preserve">El artículo 3 de Ley 5044, </w:t>
      </w:r>
      <w:r w:rsidR="004C4D5B" w:rsidRPr="004C4D5B">
        <w:rPr>
          <w:rFonts w:asciiTheme="majorHAnsi" w:hAnsiTheme="majorHAnsi" w:cs="Arial"/>
          <w:color w:val="222222"/>
        </w:rPr>
        <w:t>Ley Reguladora de Empresas Financieras no Bancarias</w:t>
      </w:r>
      <w:r w:rsidR="004C4D5B">
        <w:rPr>
          <w:rFonts w:asciiTheme="majorHAnsi" w:hAnsiTheme="majorHAnsi" w:cs="Arial"/>
          <w:color w:val="222222"/>
        </w:rPr>
        <w:t>,</w:t>
      </w:r>
      <w:r w:rsidR="004C4D5B" w:rsidRPr="004C4D5B">
        <w:rPr>
          <w:rFonts w:asciiTheme="majorHAnsi" w:hAnsiTheme="majorHAnsi" w:cs="Arial"/>
          <w:color w:val="222222"/>
        </w:rPr>
        <w:t xml:space="preserve"> </w:t>
      </w:r>
      <w:r w:rsidRPr="004C4D5B">
        <w:rPr>
          <w:rFonts w:asciiTheme="majorHAnsi" w:hAnsiTheme="majorHAnsi" w:cs="Arial"/>
          <w:color w:val="222222"/>
        </w:rPr>
        <w:t>establece:</w:t>
      </w:r>
    </w:p>
    <w:p w14:paraId="659BFD85" w14:textId="14C945B0" w:rsidR="00196F18" w:rsidRPr="00196F18" w:rsidRDefault="004C4D5B" w:rsidP="004C4D5B">
      <w:pPr>
        <w:spacing w:before="100" w:beforeAutospacing="1" w:after="100" w:afterAutospacing="1" w:line="240" w:lineRule="auto"/>
        <w:jc w:val="both"/>
        <w:rPr>
          <w:rFonts w:asciiTheme="majorHAnsi" w:eastAsia="Times New Roman" w:hAnsiTheme="majorHAnsi" w:cs="Times New Roman"/>
          <w:color w:val="000000"/>
          <w:lang w:eastAsia="es-CR"/>
        </w:rPr>
      </w:pPr>
      <w:r w:rsidRPr="004C4D5B">
        <w:rPr>
          <w:rFonts w:asciiTheme="majorHAnsi" w:eastAsia="Times New Roman" w:hAnsiTheme="majorHAnsi" w:cs="Times New Roman"/>
          <w:color w:val="000000"/>
          <w:lang w:eastAsia="es-CR"/>
        </w:rPr>
        <w:t>L</w:t>
      </w:r>
      <w:r w:rsidR="00196F18" w:rsidRPr="00196F18">
        <w:rPr>
          <w:rFonts w:asciiTheme="majorHAnsi" w:eastAsia="Times New Roman" w:hAnsiTheme="majorHAnsi" w:cs="Times New Roman"/>
          <w:color w:val="000000"/>
          <w:lang w:eastAsia="es-CR"/>
        </w:rPr>
        <w:t>as empresas financieras deberán usar en su</w:t>
      </w:r>
      <w:r w:rsidRPr="004C4D5B">
        <w:rPr>
          <w:rFonts w:asciiTheme="majorHAnsi" w:eastAsia="Times New Roman" w:hAnsiTheme="majorHAnsi" w:cs="Times New Roman"/>
          <w:color w:val="000000"/>
          <w:lang w:eastAsia="es-CR"/>
        </w:rPr>
        <w:t xml:space="preserve"> </w:t>
      </w:r>
      <w:r w:rsidR="00196F18" w:rsidRPr="00196F18">
        <w:rPr>
          <w:rFonts w:asciiTheme="majorHAnsi" w:eastAsia="Times New Roman" w:hAnsiTheme="majorHAnsi" w:cs="Times New Roman"/>
          <w:color w:val="000000"/>
          <w:lang w:eastAsia="es-CR"/>
        </w:rPr>
        <w:t>denominación, en su nombre comercial o en la descripción de sus negocios,</w:t>
      </w:r>
      <w:r w:rsidRPr="004C4D5B">
        <w:rPr>
          <w:rFonts w:asciiTheme="majorHAnsi" w:eastAsia="Times New Roman" w:hAnsiTheme="majorHAnsi" w:cs="Times New Roman"/>
          <w:color w:val="000000"/>
          <w:lang w:eastAsia="es-CR"/>
        </w:rPr>
        <w:t xml:space="preserve"> </w:t>
      </w:r>
      <w:r w:rsidR="00196F18" w:rsidRPr="00196F18">
        <w:rPr>
          <w:rFonts w:asciiTheme="majorHAnsi" w:eastAsia="Times New Roman" w:hAnsiTheme="majorHAnsi" w:cs="Times New Roman"/>
          <w:color w:val="000000"/>
          <w:lang w:eastAsia="es-CR"/>
        </w:rPr>
        <w:t>la palabra "financiera" u otros términos que identifiquen claramente la</w:t>
      </w:r>
      <w:r w:rsidRPr="004C4D5B">
        <w:rPr>
          <w:rFonts w:asciiTheme="majorHAnsi" w:eastAsia="Times New Roman" w:hAnsiTheme="majorHAnsi" w:cs="Times New Roman"/>
          <w:color w:val="000000"/>
          <w:lang w:eastAsia="es-CR"/>
        </w:rPr>
        <w:t xml:space="preserve"> </w:t>
      </w:r>
      <w:r w:rsidR="00196F18" w:rsidRPr="00196F18">
        <w:rPr>
          <w:rFonts w:asciiTheme="majorHAnsi" w:eastAsia="Times New Roman" w:hAnsiTheme="majorHAnsi" w:cs="Times New Roman"/>
          <w:color w:val="000000"/>
          <w:lang w:eastAsia="es-CR"/>
        </w:rPr>
        <w:t xml:space="preserve">naturaleza de sus actividades como de esa índole. </w:t>
      </w:r>
      <w:r w:rsidRPr="004C4D5B">
        <w:rPr>
          <w:rFonts w:asciiTheme="majorHAnsi" w:eastAsia="Times New Roman" w:hAnsiTheme="majorHAnsi" w:cs="Times New Roman"/>
          <w:color w:val="000000"/>
          <w:lang w:eastAsia="es-CR"/>
        </w:rPr>
        <w:t>Únicamente</w:t>
      </w:r>
      <w:r w:rsidR="00196F18" w:rsidRPr="00196F18">
        <w:rPr>
          <w:rFonts w:asciiTheme="majorHAnsi" w:eastAsia="Times New Roman" w:hAnsiTheme="majorHAnsi" w:cs="Times New Roman"/>
          <w:color w:val="000000"/>
          <w:lang w:eastAsia="es-CR"/>
        </w:rPr>
        <w:t xml:space="preserve"> usarán el</w:t>
      </w:r>
      <w:r w:rsidRPr="004C4D5B">
        <w:rPr>
          <w:rFonts w:asciiTheme="majorHAnsi" w:eastAsia="Times New Roman" w:hAnsiTheme="majorHAnsi" w:cs="Times New Roman"/>
          <w:color w:val="000000"/>
          <w:lang w:eastAsia="es-CR"/>
        </w:rPr>
        <w:t xml:space="preserve"> </w:t>
      </w:r>
      <w:r w:rsidR="00196F18" w:rsidRPr="00196F18">
        <w:rPr>
          <w:rFonts w:asciiTheme="majorHAnsi" w:eastAsia="Times New Roman" w:hAnsiTheme="majorHAnsi" w:cs="Times New Roman"/>
          <w:color w:val="000000"/>
          <w:lang w:eastAsia="es-CR"/>
        </w:rPr>
        <w:t>término "financiera" las empresas reguladas por esta ley y las secciones</w:t>
      </w:r>
      <w:r w:rsidRPr="004C4D5B">
        <w:rPr>
          <w:rFonts w:asciiTheme="majorHAnsi" w:eastAsia="Times New Roman" w:hAnsiTheme="majorHAnsi" w:cs="Times New Roman"/>
          <w:color w:val="000000"/>
          <w:lang w:eastAsia="es-CR"/>
        </w:rPr>
        <w:t xml:space="preserve">  </w:t>
      </w:r>
      <w:r w:rsidR="00196F18" w:rsidRPr="00196F18">
        <w:rPr>
          <w:rFonts w:asciiTheme="majorHAnsi" w:eastAsia="Times New Roman" w:hAnsiTheme="majorHAnsi" w:cs="Times New Roman"/>
          <w:color w:val="000000"/>
          <w:lang w:eastAsia="es-CR"/>
        </w:rPr>
        <w:t>financieras de los bancos del Sistema Bancario Nacional.</w:t>
      </w:r>
    </w:p>
    <w:p w14:paraId="63021005" w14:textId="2DA61F4C" w:rsidR="00196F18" w:rsidRPr="00196F18" w:rsidRDefault="00196F18" w:rsidP="004C4D5B">
      <w:pPr>
        <w:spacing w:before="100" w:beforeAutospacing="1" w:after="100" w:afterAutospacing="1" w:line="240" w:lineRule="auto"/>
        <w:jc w:val="both"/>
        <w:rPr>
          <w:rFonts w:asciiTheme="majorHAnsi" w:eastAsia="Times New Roman" w:hAnsiTheme="majorHAnsi" w:cs="Times New Roman"/>
          <w:color w:val="000000"/>
          <w:lang w:eastAsia="es-CR"/>
        </w:rPr>
      </w:pPr>
      <w:r w:rsidRPr="00196F18">
        <w:rPr>
          <w:rFonts w:asciiTheme="majorHAnsi" w:eastAsia="Times New Roman" w:hAnsiTheme="majorHAnsi" w:cs="Times New Roman"/>
          <w:color w:val="000000"/>
          <w:lang w:eastAsia="es-CR"/>
        </w:rPr>
        <w:t>Dichas empresas financieras deberán mantener un capital suscrito y</w:t>
      </w:r>
      <w:r w:rsidR="004C4D5B" w:rsidRPr="004C4D5B">
        <w:rPr>
          <w:rFonts w:asciiTheme="majorHAnsi" w:eastAsia="Times New Roman" w:hAnsiTheme="majorHAnsi" w:cs="Times New Roman"/>
          <w:color w:val="000000"/>
          <w:lang w:eastAsia="es-CR"/>
        </w:rPr>
        <w:t xml:space="preserve"> </w:t>
      </w:r>
      <w:r w:rsidRPr="00196F18">
        <w:rPr>
          <w:rFonts w:asciiTheme="majorHAnsi" w:eastAsia="Times New Roman" w:hAnsiTheme="majorHAnsi" w:cs="Times New Roman"/>
          <w:color w:val="000000"/>
          <w:lang w:eastAsia="es-CR"/>
        </w:rPr>
        <w:t>pagado no inferior a una quinta parte del capital mínimo establecido en</w:t>
      </w:r>
      <w:r w:rsidR="004C4D5B" w:rsidRPr="004C4D5B">
        <w:rPr>
          <w:rFonts w:asciiTheme="majorHAnsi" w:eastAsia="Times New Roman" w:hAnsiTheme="majorHAnsi" w:cs="Times New Roman"/>
          <w:color w:val="000000"/>
          <w:lang w:eastAsia="es-CR"/>
        </w:rPr>
        <w:t xml:space="preserve"> </w:t>
      </w:r>
      <w:r w:rsidRPr="00196F18">
        <w:rPr>
          <w:rFonts w:asciiTheme="majorHAnsi" w:eastAsia="Times New Roman" w:hAnsiTheme="majorHAnsi" w:cs="Times New Roman"/>
          <w:color w:val="000000"/>
          <w:lang w:eastAsia="es-CR"/>
        </w:rPr>
        <w:t>el artículo 151 de la Ley Orgánica del Sistema Bancario Nacional para los</w:t>
      </w:r>
      <w:r w:rsidR="004C4D5B" w:rsidRPr="004C4D5B">
        <w:rPr>
          <w:rFonts w:asciiTheme="majorHAnsi" w:eastAsia="Times New Roman" w:hAnsiTheme="majorHAnsi" w:cs="Times New Roman"/>
          <w:color w:val="000000"/>
          <w:lang w:eastAsia="es-CR"/>
        </w:rPr>
        <w:t xml:space="preserve"> </w:t>
      </w:r>
      <w:r w:rsidRPr="00196F18">
        <w:rPr>
          <w:rFonts w:asciiTheme="majorHAnsi" w:eastAsia="Times New Roman" w:hAnsiTheme="majorHAnsi" w:cs="Times New Roman"/>
          <w:color w:val="000000"/>
          <w:lang w:eastAsia="es-CR"/>
        </w:rPr>
        <w:t>bancos privados, el cual deberá ser calificado y, en su caso, por la Superintendencia General de Entidades Financieras para los efectos</w:t>
      </w:r>
      <w:r w:rsidR="004C4D5B" w:rsidRPr="004C4D5B">
        <w:rPr>
          <w:rFonts w:asciiTheme="majorHAnsi" w:eastAsia="Times New Roman" w:hAnsiTheme="majorHAnsi" w:cs="Times New Roman"/>
          <w:color w:val="000000"/>
          <w:lang w:eastAsia="es-CR"/>
        </w:rPr>
        <w:t xml:space="preserve"> </w:t>
      </w:r>
      <w:r w:rsidRPr="00196F18">
        <w:rPr>
          <w:rFonts w:asciiTheme="majorHAnsi" w:eastAsia="Times New Roman" w:hAnsiTheme="majorHAnsi" w:cs="Times New Roman"/>
          <w:color w:val="000000"/>
          <w:lang w:eastAsia="es-CR"/>
        </w:rPr>
        <w:t>de esta ley.</w:t>
      </w:r>
    </w:p>
    <w:p w14:paraId="17C21401" w14:textId="78A7773F" w:rsidR="00196F18" w:rsidRPr="00196F18" w:rsidRDefault="00196F18" w:rsidP="004C4D5B">
      <w:pPr>
        <w:spacing w:before="100" w:beforeAutospacing="1" w:after="100" w:afterAutospacing="1" w:line="240" w:lineRule="auto"/>
        <w:jc w:val="both"/>
        <w:rPr>
          <w:rFonts w:asciiTheme="majorHAnsi" w:eastAsia="Times New Roman" w:hAnsiTheme="majorHAnsi" w:cs="Times New Roman"/>
          <w:color w:val="000000"/>
          <w:lang w:eastAsia="es-CR"/>
        </w:rPr>
      </w:pPr>
      <w:r w:rsidRPr="00196F18">
        <w:rPr>
          <w:rFonts w:asciiTheme="majorHAnsi" w:eastAsia="Times New Roman" w:hAnsiTheme="majorHAnsi" w:cs="Times New Roman"/>
          <w:color w:val="000000"/>
          <w:lang w:eastAsia="es-CR"/>
        </w:rPr>
        <w:t>Las empresas financieras no podrán reducir su capital social sin</w:t>
      </w:r>
      <w:r w:rsidR="004C4D5B" w:rsidRPr="004C4D5B">
        <w:rPr>
          <w:rFonts w:asciiTheme="majorHAnsi" w:eastAsia="Times New Roman" w:hAnsiTheme="majorHAnsi" w:cs="Times New Roman"/>
          <w:color w:val="000000"/>
          <w:lang w:eastAsia="es-CR"/>
        </w:rPr>
        <w:t xml:space="preserve"> </w:t>
      </w:r>
      <w:r w:rsidRPr="00196F18">
        <w:rPr>
          <w:rFonts w:asciiTheme="majorHAnsi" w:eastAsia="Times New Roman" w:hAnsiTheme="majorHAnsi" w:cs="Times New Roman"/>
          <w:color w:val="000000"/>
          <w:lang w:eastAsia="es-CR"/>
        </w:rPr>
        <w:t>autorización de la Superintendencia General de Entidades Financieras. Las</w:t>
      </w:r>
      <w:r w:rsidR="004C4D5B" w:rsidRPr="004C4D5B">
        <w:rPr>
          <w:rFonts w:asciiTheme="majorHAnsi" w:eastAsia="Times New Roman" w:hAnsiTheme="majorHAnsi" w:cs="Times New Roman"/>
          <w:color w:val="000000"/>
          <w:lang w:eastAsia="es-CR"/>
        </w:rPr>
        <w:t xml:space="preserve"> </w:t>
      </w:r>
      <w:r w:rsidRPr="00196F18">
        <w:rPr>
          <w:rFonts w:asciiTheme="majorHAnsi" w:eastAsia="Times New Roman" w:hAnsiTheme="majorHAnsi" w:cs="Times New Roman"/>
          <w:color w:val="000000"/>
          <w:lang w:eastAsia="es-CR"/>
        </w:rPr>
        <w:t>empresas financieras deberán destinar anualmente no menos del cinco por</w:t>
      </w:r>
      <w:r w:rsidR="004C4D5B" w:rsidRPr="004C4D5B">
        <w:rPr>
          <w:rFonts w:asciiTheme="majorHAnsi" w:eastAsia="Times New Roman" w:hAnsiTheme="majorHAnsi" w:cs="Times New Roman"/>
          <w:color w:val="000000"/>
          <w:lang w:eastAsia="es-CR"/>
        </w:rPr>
        <w:t xml:space="preserve"> </w:t>
      </w:r>
      <w:r w:rsidRPr="00196F18">
        <w:rPr>
          <w:rFonts w:asciiTheme="majorHAnsi" w:eastAsia="Times New Roman" w:hAnsiTheme="majorHAnsi" w:cs="Times New Roman"/>
          <w:color w:val="000000"/>
          <w:lang w:eastAsia="es-CR"/>
        </w:rPr>
        <w:t>ciento (5%) de sus utilidades líquidas a la constitución de una reserva</w:t>
      </w:r>
      <w:r w:rsidR="004C4D5B" w:rsidRPr="004C4D5B">
        <w:rPr>
          <w:rFonts w:asciiTheme="majorHAnsi" w:eastAsia="Times New Roman" w:hAnsiTheme="majorHAnsi" w:cs="Times New Roman"/>
          <w:color w:val="000000"/>
          <w:lang w:eastAsia="es-CR"/>
        </w:rPr>
        <w:t xml:space="preserve"> </w:t>
      </w:r>
      <w:r w:rsidRPr="00196F18">
        <w:rPr>
          <w:rFonts w:asciiTheme="majorHAnsi" w:eastAsia="Times New Roman" w:hAnsiTheme="majorHAnsi" w:cs="Times New Roman"/>
          <w:color w:val="000000"/>
          <w:lang w:eastAsia="es-CR"/>
        </w:rPr>
        <w:t>especial, hasta que ésta alcance el veinte por ciento (20%) del capital</w:t>
      </w:r>
      <w:r w:rsidR="004C4D5B" w:rsidRPr="004C4D5B">
        <w:rPr>
          <w:rFonts w:asciiTheme="majorHAnsi" w:eastAsia="Times New Roman" w:hAnsiTheme="majorHAnsi" w:cs="Times New Roman"/>
          <w:color w:val="000000"/>
          <w:lang w:eastAsia="es-CR"/>
        </w:rPr>
        <w:t xml:space="preserve"> </w:t>
      </w:r>
      <w:r w:rsidRPr="00196F18">
        <w:rPr>
          <w:rFonts w:asciiTheme="majorHAnsi" w:eastAsia="Times New Roman" w:hAnsiTheme="majorHAnsi" w:cs="Times New Roman"/>
          <w:color w:val="000000"/>
          <w:lang w:eastAsia="es-CR"/>
        </w:rPr>
        <w:t>social. Esta reserva se utilizará, en primera instancia, para cubrir las</w:t>
      </w:r>
      <w:r w:rsidR="004C4D5B" w:rsidRPr="004C4D5B">
        <w:rPr>
          <w:rFonts w:asciiTheme="majorHAnsi" w:eastAsia="Times New Roman" w:hAnsiTheme="majorHAnsi" w:cs="Times New Roman"/>
          <w:color w:val="000000"/>
          <w:lang w:eastAsia="es-CR"/>
        </w:rPr>
        <w:t xml:space="preserve"> </w:t>
      </w:r>
      <w:r w:rsidRPr="00196F18">
        <w:rPr>
          <w:rFonts w:asciiTheme="majorHAnsi" w:eastAsia="Times New Roman" w:hAnsiTheme="majorHAnsi" w:cs="Times New Roman"/>
          <w:color w:val="000000"/>
          <w:lang w:eastAsia="es-CR"/>
        </w:rPr>
        <w:t>eventuales pérdidas económicas de la respectiva empresa financiera.</w:t>
      </w:r>
    </w:p>
    <w:p w14:paraId="393753AE" w14:textId="7B507ED8" w:rsidR="00E03DF3" w:rsidRPr="00E03DF3" w:rsidRDefault="00E03DF3" w:rsidP="00BA78E9">
      <w:pPr>
        <w:shd w:val="clear" w:color="auto" w:fill="FFFFFF"/>
        <w:spacing w:before="100" w:beforeAutospacing="1" w:after="100" w:afterAutospacing="1" w:line="240" w:lineRule="auto"/>
        <w:jc w:val="both"/>
        <w:rPr>
          <w:rFonts w:asciiTheme="majorHAnsi" w:hAnsiTheme="majorHAnsi" w:cs="Arial"/>
          <w:b/>
          <w:color w:val="222222"/>
        </w:rPr>
      </w:pPr>
      <w:r w:rsidRPr="00E03DF3">
        <w:rPr>
          <w:rFonts w:asciiTheme="majorHAnsi" w:hAnsiTheme="majorHAnsi" w:cs="Arial"/>
          <w:b/>
          <w:color w:val="222222"/>
        </w:rPr>
        <w:t>Trámite de las quejas o denuncias</w:t>
      </w:r>
    </w:p>
    <w:p w14:paraId="3C11FCB4" w14:textId="23364D01" w:rsidR="003270B7" w:rsidRPr="00E03DF3" w:rsidRDefault="00E23B5B" w:rsidP="00BA78E9">
      <w:pPr>
        <w:shd w:val="clear" w:color="auto" w:fill="FFFFFF"/>
        <w:spacing w:before="100" w:beforeAutospacing="1" w:after="100" w:afterAutospacing="1" w:line="240" w:lineRule="auto"/>
        <w:jc w:val="both"/>
        <w:rPr>
          <w:rFonts w:asciiTheme="majorHAnsi" w:hAnsiTheme="majorHAnsi" w:cs="Arial"/>
          <w:color w:val="222222"/>
        </w:rPr>
      </w:pPr>
      <w:r w:rsidRPr="00E03DF3">
        <w:rPr>
          <w:rFonts w:asciiTheme="majorHAnsi" w:hAnsiTheme="majorHAnsi" w:cs="Arial"/>
          <w:color w:val="222222"/>
        </w:rPr>
        <w:t>En virtud de lo anterior, si usted tiene</w:t>
      </w:r>
      <w:r w:rsidR="003270B7" w:rsidRPr="00E03DF3">
        <w:rPr>
          <w:rFonts w:asciiTheme="majorHAnsi" w:hAnsiTheme="majorHAnsi" w:cs="Arial"/>
          <w:color w:val="222222"/>
        </w:rPr>
        <w:t xml:space="preserve"> dudas sobre el accionar de alguna </w:t>
      </w:r>
      <w:r w:rsidR="00E03DF3" w:rsidRPr="00E03DF3">
        <w:rPr>
          <w:rFonts w:asciiTheme="majorHAnsi" w:hAnsiTheme="majorHAnsi" w:cs="Arial"/>
          <w:color w:val="222222"/>
        </w:rPr>
        <w:t xml:space="preserve">empresa en cuanto al cumplimiento de los artículos antes citados, puede presentar su queja o denuncia </w:t>
      </w:r>
      <w:r w:rsidR="003270B7" w:rsidRPr="00E03DF3">
        <w:rPr>
          <w:rFonts w:asciiTheme="majorHAnsi" w:hAnsiTheme="majorHAnsi" w:cs="Arial"/>
          <w:color w:val="222222"/>
        </w:rPr>
        <w:t xml:space="preserve">esta Superintendencia, la cual podrá efectuar mediante soporte papel entregado directamente en nuestra unidad de correspondencia en Avenida 13 y 17, calle 3a, frente a las oficinas centrales del Ministerio de Trabajo y Seguridad Social, San José, Barrio </w:t>
      </w:r>
      <w:proofErr w:type="spellStart"/>
      <w:r w:rsidR="003270B7" w:rsidRPr="00E03DF3">
        <w:rPr>
          <w:rFonts w:asciiTheme="majorHAnsi" w:hAnsiTheme="majorHAnsi" w:cs="Arial"/>
          <w:color w:val="222222"/>
        </w:rPr>
        <w:t>Tournón</w:t>
      </w:r>
      <w:proofErr w:type="spellEnd"/>
      <w:r w:rsidR="003270B7" w:rsidRPr="00E03DF3">
        <w:rPr>
          <w:rFonts w:asciiTheme="majorHAnsi" w:hAnsiTheme="majorHAnsi" w:cs="Arial"/>
          <w:color w:val="222222"/>
        </w:rPr>
        <w:t>, Costa Rica, o bien, por medios electrónicos, llenando el </w:t>
      </w:r>
      <w:hyperlink r:id="rId9" w:history="1">
        <w:r w:rsidR="003270B7" w:rsidRPr="00EC6B8D">
          <w:rPr>
            <w:rStyle w:val="Hipervnculo"/>
            <w:rFonts w:asciiTheme="majorHAnsi" w:hAnsiTheme="majorHAnsi" w:cs="Arial"/>
          </w:rPr>
          <w:t>formulario de quejas y</w:t>
        </w:r>
        <w:r w:rsidR="003270B7" w:rsidRPr="00EC6B8D">
          <w:rPr>
            <w:rStyle w:val="Hipervnculo"/>
            <w:rFonts w:asciiTheme="majorHAnsi" w:hAnsiTheme="majorHAnsi" w:cs="Arial"/>
          </w:rPr>
          <w:t xml:space="preserve"> </w:t>
        </w:r>
        <w:r w:rsidR="003270B7" w:rsidRPr="00EC6B8D">
          <w:rPr>
            <w:rStyle w:val="Hipervnculo"/>
            <w:rFonts w:asciiTheme="majorHAnsi" w:hAnsiTheme="majorHAnsi" w:cs="Arial"/>
          </w:rPr>
          <w:t>denuncias o consultas</w:t>
        </w:r>
      </w:hyperlink>
      <w:r w:rsidR="009F1EC3">
        <w:rPr>
          <w:rFonts w:asciiTheme="majorHAnsi" w:hAnsiTheme="majorHAnsi" w:cs="Arial"/>
          <w:color w:val="222222"/>
        </w:rPr>
        <w:t xml:space="preserve"> </w:t>
      </w:r>
      <w:r w:rsidR="003270B7" w:rsidRPr="00E03DF3">
        <w:rPr>
          <w:rFonts w:asciiTheme="majorHAnsi" w:hAnsiTheme="majorHAnsi" w:cs="Arial"/>
          <w:color w:val="222222"/>
        </w:rPr>
        <w:t>y enviándolo al correo </w:t>
      </w:r>
      <w:hyperlink r:id="rId10" w:history="1">
        <w:r w:rsidR="003270B7" w:rsidRPr="00E03DF3">
          <w:rPr>
            <w:rStyle w:val="Hipervnculo"/>
            <w:rFonts w:asciiTheme="majorHAnsi" w:hAnsiTheme="majorHAnsi" w:cs="Arial"/>
          </w:rPr>
          <w:t>sugefcr@sugef.fi.cr</w:t>
        </w:r>
      </w:hyperlink>
      <w:r w:rsidR="003270B7" w:rsidRPr="00E03DF3">
        <w:rPr>
          <w:rFonts w:asciiTheme="majorHAnsi" w:hAnsiTheme="majorHAnsi" w:cs="Arial"/>
          <w:color w:val="222222"/>
        </w:rPr>
        <w:t>, el cual debe estar validado mediante su firma digital.</w:t>
      </w:r>
    </w:p>
    <w:p w14:paraId="393FA094" w14:textId="409DDCE4" w:rsidR="00E03DF3" w:rsidRPr="00E03DF3" w:rsidRDefault="003270B7" w:rsidP="00BA78E9">
      <w:pPr>
        <w:shd w:val="clear" w:color="auto" w:fill="FFFFFF"/>
        <w:spacing w:before="100" w:beforeAutospacing="1" w:after="100" w:afterAutospacing="1" w:line="240" w:lineRule="auto"/>
        <w:jc w:val="both"/>
        <w:rPr>
          <w:rFonts w:asciiTheme="majorHAnsi" w:hAnsiTheme="majorHAnsi" w:cs="Arial"/>
          <w:color w:val="222222"/>
        </w:rPr>
      </w:pPr>
      <w:r w:rsidRPr="00E03DF3">
        <w:rPr>
          <w:rFonts w:asciiTheme="majorHAnsi" w:hAnsiTheme="majorHAnsi" w:cs="Arial"/>
          <w:color w:val="222222"/>
        </w:rPr>
        <w:t xml:space="preserve">Por otra parte, se </w:t>
      </w:r>
      <w:r w:rsidR="00E03DF3" w:rsidRPr="00E03DF3">
        <w:rPr>
          <w:rFonts w:asciiTheme="majorHAnsi" w:hAnsiTheme="majorHAnsi" w:cs="Arial"/>
          <w:color w:val="222222"/>
        </w:rPr>
        <w:t>aclara</w:t>
      </w:r>
      <w:r w:rsidRPr="00E03DF3">
        <w:rPr>
          <w:rFonts w:asciiTheme="majorHAnsi" w:hAnsiTheme="majorHAnsi" w:cs="Arial"/>
          <w:color w:val="222222"/>
        </w:rPr>
        <w:t xml:space="preserve"> que la queja o denuncia recibida </w:t>
      </w:r>
      <w:r w:rsidR="00E03DF3" w:rsidRPr="00E03DF3">
        <w:rPr>
          <w:rFonts w:asciiTheme="majorHAnsi" w:hAnsiTheme="majorHAnsi" w:cs="Arial"/>
          <w:color w:val="222222"/>
        </w:rPr>
        <w:t>será valorada por funcionario</w:t>
      </w:r>
      <w:r w:rsidR="004C4D5B">
        <w:rPr>
          <w:rFonts w:asciiTheme="majorHAnsi" w:hAnsiTheme="majorHAnsi" w:cs="Arial"/>
          <w:color w:val="222222"/>
        </w:rPr>
        <w:t xml:space="preserve"> de la Sugef y en caso de que corresponda, </w:t>
      </w:r>
      <w:r w:rsidR="00E03DF3" w:rsidRPr="00E03DF3">
        <w:rPr>
          <w:rFonts w:asciiTheme="majorHAnsi" w:hAnsiTheme="majorHAnsi" w:cs="Arial"/>
          <w:color w:val="222222"/>
        </w:rPr>
        <w:t xml:space="preserve"> se realizará un estudio de verificación de ac</w:t>
      </w:r>
      <w:bookmarkStart w:id="0" w:name="_GoBack"/>
      <w:bookmarkEnd w:id="0"/>
      <w:r w:rsidR="00E03DF3" w:rsidRPr="00E03DF3">
        <w:rPr>
          <w:rFonts w:asciiTheme="majorHAnsi" w:hAnsiTheme="majorHAnsi" w:cs="Arial"/>
          <w:color w:val="222222"/>
        </w:rPr>
        <w:t xml:space="preserve">tividades en la empresa denunciada. </w:t>
      </w:r>
      <w:r w:rsidRPr="00E03DF3">
        <w:rPr>
          <w:rFonts w:asciiTheme="majorHAnsi" w:hAnsiTheme="majorHAnsi" w:cs="Arial"/>
          <w:color w:val="222222"/>
        </w:rPr>
        <w:t xml:space="preserve">Sin embargo, advertimos que </w:t>
      </w:r>
      <w:r w:rsidR="00E03DF3" w:rsidRPr="00E03DF3">
        <w:rPr>
          <w:rFonts w:asciiTheme="majorHAnsi" w:hAnsiTheme="majorHAnsi" w:cs="Arial"/>
          <w:color w:val="222222"/>
        </w:rPr>
        <w:t xml:space="preserve">la </w:t>
      </w:r>
      <w:r w:rsidR="00BA78E9" w:rsidRPr="00E03DF3">
        <w:rPr>
          <w:rFonts w:asciiTheme="majorHAnsi" w:hAnsiTheme="majorHAnsi" w:cs="Arial"/>
          <w:color w:val="222222"/>
        </w:rPr>
        <w:t>Superintendencia</w:t>
      </w:r>
      <w:r w:rsidR="00E03DF3" w:rsidRPr="00E03DF3">
        <w:rPr>
          <w:rFonts w:asciiTheme="majorHAnsi" w:hAnsiTheme="majorHAnsi" w:cs="Arial"/>
          <w:color w:val="222222"/>
        </w:rPr>
        <w:t xml:space="preserve"> </w:t>
      </w:r>
      <w:r w:rsidRPr="00E03DF3">
        <w:rPr>
          <w:rFonts w:asciiTheme="majorHAnsi" w:hAnsiTheme="majorHAnsi" w:cs="Arial"/>
          <w:color w:val="222222"/>
        </w:rPr>
        <w:t xml:space="preserve">no </w:t>
      </w:r>
      <w:r w:rsidR="00E03DF3" w:rsidRPr="00E03DF3">
        <w:rPr>
          <w:rFonts w:asciiTheme="majorHAnsi" w:hAnsiTheme="majorHAnsi" w:cs="Arial"/>
          <w:color w:val="222222"/>
        </w:rPr>
        <w:t>puede brindar</w:t>
      </w:r>
      <w:r w:rsidRPr="00E03DF3">
        <w:rPr>
          <w:rFonts w:asciiTheme="majorHAnsi" w:hAnsiTheme="majorHAnsi" w:cs="Arial"/>
          <w:color w:val="222222"/>
        </w:rPr>
        <w:t xml:space="preserve"> ninguna información en relación con los resultados o</w:t>
      </w:r>
      <w:r w:rsidR="00E03DF3" w:rsidRPr="00E03DF3">
        <w:rPr>
          <w:rFonts w:asciiTheme="majorHAnsi" w:hAnsiTheme="majorHAnsi" w:cs="Arial"/>
          <w:color w:val="222222"/>
        </w:rPr>
        <w:t>btenido</w:t>
      </w:r>
      <w:r w:rsidR="004C4D5B">
        <w:rPr>
          <w:rFonts w:asciiTheme="majorHAnsi" w:hAnsiTheme="majorHAnsi" w:cs="Arial"/>
          <w:color w:val="222222"/>
        </w:rPr>
        <w:t>s</w:t>
      </w:r>
      <w:r w:rsidR="00E03DF3" w:rsidRPr="00E03DF3">
        <w:rPr>
          <w:rFonts w:asciiTheme="majorHAnsi" w:hAnsiTheme="majorHAnsi" w:cs="Arial"/>
          <w:color w:val="222222"/>
        </w:rPr>
        <w:t xml:space="preserve"> en dicho estudio</w:t>
      </w:r>
      <w:r w:rsidRPr="00E03DF3">
        <w:rPr>
          <w:rFonts w:asciiTheme="majorHAnsi" w:hAnsiTheme="majorHAnsi" w:cs="Arial"/>
          <w:color w:val="222222"/>
        </w:rPr>
        <w:t xml:space="preserve">, </w:t>
      </w:r>
      <w:r w:rsidR="00E03DF3">
        <w:rPr>
          <w:rFonts w:asciiTheme="majorHAnsi" w:hAnsiTheme="majorHAnsi" w:cs="Arial"/>
          <w:color w:val="222222"/>
        </w:rPr>
        <w:t xml:space="preserve"> </w:t>
      </w:r>
      <w:r w:rsidR="004C4D5B">
        <w:rPr>
          <w:rFonts w:asciiTheme="majorHAnsi" w:hAnsiTheme="majorHAnsi" w:cs="Arial"/>
          <w:color w:val="222222"/>
        </w:rPr>
        <w:t xml:space="preserve">ello </w:t>
      </w:r>
      <w:r w:rsidRPr="00E03DF3">
        <w:rPr>
          <w:rFonts w:asciiTheme="majorHAnsi" w:hAnsiTheme="majorHAnsi" w:cs="Arial"/>
          <w:color w:val="222222"/>
        </w:rPr>
        <w:t xml:space="preserve">debido al </w:t>
      </w:r>
      <w:r w:rsidRPr="00E03DF3">
        <w:rPr>
          <w:rFonts w:asciiTheme="majorHAnsi" w:hAnsiTheme="majorHAnsi" w:cs="Arial"/>
          <w:color w:val="222222"/>
        </w:rPr>
        <w:lastRenderedPageBreak/>
        <w:t>impedimento expreso establecido en</w:t>
      </w:r>
      <w:r w:rsidR="00E03DF3" w:rsidRPr="00E03DF3">
        <w:rPr>
          <w:rFonts w:asciiTheme="majorHAnsi" w:hAnsiTheme="majorHAnsi" w:cs="Arial"/>
          <w:color w:val="222222"/>
        </w:rPr>
        <w:t xml:space="preserve"> el artículo 132 de</w:t>
      </w:r>
      <w:r w:rsidRPr="00E03DF3">
        <w:rPr>
          <w:rFonts w:asciiTheme="majorHAnsi" w:hAnsiTheme="majorHAnsi" w:cs="Arial"/>
          <w:color w:val="222222"/>
        </w:rPr>
        <w:t xml:space="preserve"> la </w:t>
      </w:r>
      <w:r w:rsidR="00E03DF3" w:rsidRPr="00E03DF3">
        <w:rPr>
          <w:rFonts w:asciiTheme="majorHAnsi" w:hAnsiTheme="majorHAnsi" w:cs="Arial"/>
          <w:color w:val="222222"/>
        </w:rPr>
        <w:t xml:space="preserve">citada </w:t>
      </w:r>
      <w:r w:rsidRPr="00E03DF3">
        <w:rPr>
          <w:rFonts w:asciiTheme="majorHAnsi" w:hAnsiTheme="majorHAnsi" w:cs="Arial"/>
          <w:color w:val="222222"/>
        </w:rPr>
        <w:t>Ley No. 7558</w:t>
      </w:r>
      <w:r w:rsidR="00E03DF3" w:rsidRPr="00E03DF3">
        <w:rPr>
          <w:rFonts w:asciiTheme="majorHAnsi" w:hAnsiTheme="majorHAnsi" w:cs="Arial"/>
          <w:color w:val="222222"/>
        </w:rPr>
        <w:t>, en el cual se establece</w:t>
      </w:r>
      <w:r w:rsidR="009F1EC3">
        <w:rPr>
          <w:rFonts w:asciiTheme="majorHAnsi" w:hAnsiTheme="majorHAnsi" w:cs="Arial"/>
          <w:color w:val="222222"/>
        </w:rPr>
        <w:t>, en lo conducente, siguiente</w:t>
      </w:r>
      <w:r w:rsidR="00E03DF3" w:rsidRPr="00E03DF3">
        <w:rPr>
          <w:rFonts w:asciiTheme="majorHAnsi" w:hAnsiTheme="majorHAnsi" w:cs="Arial"/>
          <w:color w:val="222222"/>
        </w:rPr>
        <w:t>:</w:t>
      </w:r>
    </w:p>
    <w:p w14:paraId="4776D12E" w14:textId="257A2858" w:rsidR="00E03DF3" w:rsidRPr="009F1EC3" w:rsidRDefault="009F1EC3" w:rsidP="004C4D5B">
      <w:pPr>
        <w:spacing w:before="100" w:beforeAutospacing="1" w:after="100" w:afterAutospacing="1" w:line="240" w:lineRule="auto"/>
        <w:ind w:left="284"/>
        <w:jc w:val="both"/>
        <w:rPr>
          <w:rFonts w:asciiTheme="majorHAnsi" w:eastAsia="Times New Roman" w:hAnsiTheme="majorHAnsi" w:cs="Times New Roman"/>
          <w:i/>
          <w:color w:val="000000"/>
          <w:lang w:eastAsia="es-CR"/>
        </w:rPr>
      </w:pPr>
      <w:r>
        <w:rPr>
          <w:rFonts w:asciiTheme="majorHAnsi" w:eastAsia="Times New Roman" w:hAnsiTheme="majorHAnsi" w:cs="Times New Roman"/>
          <w:i/>
          <w:color w:val="000000"/>
          <w:lang w:eastAsia="es-CR"/>
        </w:rPr>
        <w:t>“</w:t>
      </w:r>
      <w:r w:rsidR="00E03DF3" w:rsidRPr="009F1EC3">
        <w:rPr>
          <w:rFonts w:asciiTheme="majorHAnsi" w:eastAsia="Times New Roman" w:hAnsiTheme="majorHAnsi" w:cs="Times New Roman"/>
          <w:i/>
          <w:color w:val="000000"/>
          <w:lang w:eastAsia="es-CR"/>
        </w:rPr>
        <w:t>Artículo 132.- Prohibición. Queda prohibido al Superintendente, al Intendente, a los miembros del Consejo Directivo, a los empleados, asesores y a cualquier otra persona, física o jurídica, que preste servicios a la Superintendencia en la regularización o fiscalización de las entidades financieras, dar a conocer información relacionada con los documentos, informes u operaciones de las entidades fiscalizadas. La violación de esta prohibición será sancionada según lo dispuesto en el artículo 203 del Código Penal. Tratándose de funcionarios de la Superintendencia constituirá, además, falta grave para efectos laborales.</w:t>
      </w:r>
      <w:r>
        <w:rPr>
          <w:rFonts w:asciiTheme="majorHAnsi" w:eastAsia="Times New Roman" w:hAnsiTheme="majorHAnsi" w:cs="Times New Roman"/>
          <w:i/>
          <w:color w:val="000000"/>
          <w:lang w:eastAsia="es-CR"/>
        </w:rPr>
        <w:t>(…)”</w:t>
      </w:r>
    </w:p>
    <w:p w14:paraId="71F5EBC6" w14:textId="48C55D5E" w:rsidR="003270B7" w:rsidRPr="00E03DF3" w:rsidRDefault="009F1EC3" w:rsidP="00E03DF3">
      <w:pPr>
        <w:spacing w:before="100" w:beforeAutospacing="1" w:after="100" w:afterAutospacing="1" w:line="240" w:lineRule="auto"/>
        <w:jc w:val="both"/>
        <w:rPr>
          <w:rFonts w:asciiTheme="majorHAnsi" w:eastAsia="Times New Roman" w:hAnsiTheme="majorHAnsi" w:cs="Times New Roman"/>
          <w:color w:val="000000"/>
          <w:lang w:eastAsia="es-CR"/>
        </w:rPr>
      </w:pPr>
      <w:r>
        <w:rPr>
          <w:rFonts w:asciiTheme="majorHAnsi" w:eastAsia="Times New Roman" w:hAnsiTheme="majorHAnsi" w:cs="Times New Roman"/>
          <w:color w:val="000000"/>
          <w:lang w:eastAsia="es-CR"/>
        </w:rPr>
        <w:t>Finalmente, conforme al</w:t>
      </w:r>
      <w:r w:rsidR="003270B7" w:rsidRPr="00E03DF3">
        <w:rPr>
          <w:rFonts w:asciiTheme="majorHAnsi" w:eastAsia="Times New Roman" w:hAnsiTheme="majorHAnsi" w:cs="Times New Roman"/>
          <w:color w:val="000000"/>
          <w:lang w:eastAsia="es-CR"/>
        </w:rPr>
        <w:t xml:space="preserve"> artículo 6 de la Ley General de Control Interno (Ley 829</w:t>
      </w:r>
      <w:r w:rsidR="00E03DF3" w:rsidRPr="00E03DF3">
        <w:rPr>
          <w:rFonts w:asciiTheme="majorHAnsi" w:eastAsia="Times New Roman" w:hAnsiTheme="majorHAnsi" w:cs="Times New Roman"/>
          <w:color w:val="000000"/>
          <w:lang w:eastAsia="es-CR"/>
        </w:rPr>
        <w:t>2) y el artículo 132 de la Ley O</w:t>
      </w:r>
      <w:r w:rsidR="003270B7" w:rsidRPr="00E03DF3">
        <w:rPr>
          <w:rFonts w:asciiTheme="majorHAnsi" w:eastAsia="Times New Roman" w:hAnsiTheme="majorHAnsi" w:cs="Times New Roman"/>
          <w:color w:val="000000"/>
          <w:lang w:eastAsia="es-CR"/>
        </w:rPr>
        <w:t>rgánica del  Banco Central de Costa Rica (Ley 7558)</w:t>
      </w:r>
      <w:r>
        <w:rPr>
          <w:rFonts w:asciiTheme="majorHAnsi" w:eastAsia="Times New Roman" w:hAnsiTheme="majorHAnsi" w:cs="Times New Roman"/>
          <w:color w:val="000000"/>
          <w:lang w:eastAsia="es-CR"/>
        </w:rPr>
        <w:t xml:space="preserve"> antes citado en lo que interesa</w:t>
      </w:r>
      <w:r w:rsidR="003270B7" w:rsidRPr="00E03DF3">
        <w:rPr>
          <w:rFonts w:asciiTheme="majorHAnsi" w:eastAsia="Times New Roman" w:hAnsiTheme="majorHAnsi" w:cs="Times New Roman"/>
          <w:color w:val="000000"/>
          <w:lang w:eastAsia="es-CR"/>
        </w:rPr>
        <w:t xml:space="preserve">, </w:t>
      </w:r>
      <w:r w:rsidR="00BA78E9">
        <w:rPr>
          <w:rFonts w:asciiTheme="majorHAnsi" w:eastAsia="Times New Roman" w:hAnsiTheme="majorHAnsi" w:cs="Times New Roman"/>
          <w:color w:val="000000"/>
          <w:lang w:eastAsia="es-CR"/>
        </w:rPr>
        <w:t>la</w:t>
      </w:r>
      <w:r w:rsidR="003270B7" w:rsidRPr="00E03DF3">
        <w:rPr>
          <w:rFonts w:asciiTheme="majorHAnsi" w:eastAsia="Times New Roman" w:hAnsiTheme="majorHAnsi" w:cs="Times New Roman"/>
          <w:color w:val="000000"/>
          <w:lang w:eastAsia="es-CR"/>
        </w:rPr>
        <w:t xml:space="preserve"> Superintendencia garantiza la confidencialidad d</w:t>
      </w:r>
      <w:r w:rsidR="00E03DF3" w:rsidRPr="00E03DF3">
        <w:rPr>
          <w:rFonts w:asciiTheme="majorHAnsi" w:eastAsia="Times New Roman" w:hAnsiTheme="majorHAnsi" w:cs="Times New Roman"/>
          <w:color w:val="000000"/>
          <w:lang w:eastAsia="es-CR"/>
        </w:rPr>
        <w:t>e la denuncia y del denunciante</w:t>
      </w:r>
      <w:r w:rsidR="003270B7" w:rsidRPr="00E03DF3">
        <w:rPr>
          <w:rFonts w:asciiTheme="majorHAnsi" w:eastAsia="Times New Roman" w:hAnsiTheme="majorHAnsi" w:cs="Times New Roman"/>
          <w:color w:val="000000"/>
          <w:lang w:eastAsia="es-CR"/>
        </w:rPr>
        <w:t>.</w:t>
      </w:r>
    </w:p>
    <w:p w14:paraId="02B402AC" w14:textId="77777777" w:rsidR="003270B7" w:rsidRPr="00E03DF3" w:rsidRDefault="003270B7" w:rsidP="008F47BC">
      <w:pPr>
        <w:spacing w:after="0" w:line="240" w:lineRule="auto"/>
        <w:jc w:val="both"/>
        <w:rPr>
          <w:rFonts w:asciiTheme="majorHAnsi" w:eastAsia="Times New Roman" w:hAnsiTheme="majorHAnsi" w:cs="Arial"/>
          <w:b/>
          <w:bCs/>
          <w:lang w:eastAsia="es-CR"/>
        </w:rPr>
      </w:pPr>
    </w:p>
    <w:sectPr w:rsidR="003270B7" w:rsidRPr="00E03DF3" w:rsidSect="008619B8">
      <w:headerReference w:type="default" r:id="rId11"/>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FB81B" w14:textId="77777777" w:rsidR="00424215" w:rsidRDefault="00424215" w:rsidP="009C2D0F">
      <w:pPr>
        <w:spacing w:after="0" w:line="240" w:lineRule="auto"/>
      </w:pPr>
      <w:r>
        <w:separator/>
      </w:r>
    </w:p>
  </w:endnote>
  <w:endnote w:type="continuationSeparator" w:id="0">
    <w:p w14:paraId="7A5BDEA7" w14:textId="77777777" w:rsidR="00424215" w:rsidRDefault="00424215" w:rsidP="009C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18" w:type="dxa"/>
      <w:jc w:val="center"/>
      <w:tblCellMar>
        <w:left w:w="70" w:type="dxa"/>
        <w:right w:w="70" w:type="dxa"/>
      </w:tblCellMar>
      <w:tblLook w:val="0000" w:firstRow="0" w:lastRow="0" w:firstColumn="0" w:lastColumn="0" w:noHBand="0" w:noVBand="0"/>
    </w:tblPr>
    <w:tblGrid>
      <w:gridCol w:w="2404"/>
      <w:gridCol w:w="1980"/>
      <w:gridCol w:w="1980"/>
      <w:gridCol w:w="2654"/>
    </w:tblGrid>
    <w:tr w:rsidR="009C2D0F" w14:paraId="32F1CE2F" w14:textId="77777777" w:rsidTr="00935B52">
      <w:trPr>
        <w:trHeight w:val="546"/>
        <w:jc w:val="center"/>
      </w:trPr>
      <w:tc>
        <w:tcPr>
          <w:tcW w:w="2404" w:type="dxa"/>
          <w:tcBorders>
            <w:top w:val="nil"/>
            <w:left w:val="nil"/>
            <w:bottom w:val="nil"/>
            <w:right w:val="single" w:sz="4" w:space="0" w:color="auto"/>
          </w:tcBorders>
          <w:vAlign w:val="center"/>
        </w:tcPr>
        <w:p w14:paraId="2C8EE105" w14:textId="77777777" w:rsidR="009C2D0F" w:rsidRDefault="009C2D0F" w:rsidP="009C2D0F">
          <w:pPr>
            <w:pStyle w:val="Piedepgina"/>
            <w:jc w:val="both"/>
            <w:rPr>
              <w:rFonts w:ascii="Arial" w:hAnsi="Arial"/>
              <w:sz w:val="16"/>
            </w:rPr>
          </w:pPr>
          <w:r>
            <w:rPr>
              <w:rFonts w:ascii="Arial" w:hAnsi="Arial"/>
              <w:b/>
              <w:bCs/>
              <w:sz w:val="16"/>
            </w:rPr>
            <w:t>Teléfono</w:t>
          </w:r>
          <w:r>
            <w:rPr>
              <w:rFonts w:ascii="Arial" w:hAnsi="Arial"/>
              <w:sz w:val="16"/>
            </w:rPr>
            <w:t xml:space="preserve">   (506) 2243-4848</w:t>
          </w:r>
        </w:p>
        <w:p w14:paraId="005B46ED" w14:textId="77777777" w:rsidR="009C2D0F" w:rsidRDefault="009C2D0F" w:rsidP="009C2D0F">
          <w:pPr>
            <w:pStyle w:val="Piedepgina"/>
            <w:jc w:val="both"/>
            <w:rPr>
              <w:rFonts w:ascii="Arial" w:hAnsi="Arial"/>
              <w:sz w:val="16"/>
            </w:rPr>
          </w:pPr>
          <w:r>
            <w:rPr>
              <w:rFonts w:ascii="Arial" w:hAnsi="Arial"/>
              <w:b/>
              <w:bCs/>
              <w:sz w:val="16"/>
            </w:rPr>
            <w:t>Facsímile</w:t>
          </w:r>
          <w:r>
            <w:rPr>
              <w:rFonts w:ascii="Arial" w:hAnsi="Arial"/>
              <w:sz w:val="16"/>
            </w:rPr>
            <w:t xml:space="preserve">  (506) 2243-4849</w:t>
          </w:r>
        </w:p>
      </w:tc>
      <w:tc>
        <w:tcPr>
          <w:tcW w:w="1980" w:type="dxa"/>
          <w:tcBorders>
            <w:top w:val="nil"/>
            <w:left w:val="single" w:sz="4" w:space="0" w:color="auto"/>
            <w:bottom w:val="nil"/>
            <w:right w:val="single" w:sz="4" w:space="0" w:color="auto"/>
          </w:tcBorders>
          <w:vAlign w:val="center"/>
        </w:tcPr>
        <w:p w14:paraId="48BC97DC" w14:textId="77777777" w:rsidR="009C2D0F" w:rsidRDefault="009C2D0F" w:rsidP="009C2D0F">
          <w:pPr>
            <w:pStyle w:val="Piedepgina"/>
            <w:ind w:left="189"/>
            <w:jc w:val="both"/>
            <w:rPr>
              <w:rFonts w:ascii="Arial" w:hAnsi="Arial"/>
              <w:sz w:val="16"/>
            </w:rPr>
          </w:pPr>
          <w:r>
            <w:rPr>
              <w:rFonts w:ascii="Arial" w:hAnsi="Arial"/>
              <w:b/>
              <w:bCs/>
              <w:sz w:val="16"/>
            </w:rPr>
            <w:t>Apartado</w:t>
          </w:r>
          <w:r>
            <w:rPr>
              <w:rFonts w:ascii="Arial" w:hAnsi="Arial"/>
              <w:sz w:val="16"/>
            </w:rPr>
            <w:t xml:space="preserve"> 2762-1000</w:t>
          </w:r>
        </w:p>
        <w:p w14:paraId="061AC1BF" w14:textId="77777777" w:rsidR="009C2D0F" w:rsidRDefault="009C2D0F" w:rsidP="009C2D0F">
          <w:pPr>
            <w:pStyle w:val="Piedepgina"/>
            <w:ind w:left="189"/>
            <w:jc w:val="both"/>
            <w:rPr>
              <w:rFonts w:ascii="Arial" w:hAnsi="Arial"/>
              <w:sz w:val="16"/>
            </w:rPr>
          </w:pPr>
          <w:r>
            <w:rPr>
              <w:rFonts w:ascii="Arial" w:hAnsi="Arial"/>
              <w:sz w:val="16"/>
            </w:rPr>
            <w:t>San José, Costa Rica</w:t>
          </w:r>
        </w:p>
      </w:tc>
      <w:tc>
        <w:tcPr>
          <w:tcW w:w="1980" w:type="dxa"/>
          <w:tcBorders>
            <w:top w:val="nil"/>
            <w:left w:val="single" w:sz="4" w:space="0" w:color="auto"/>
            <w:bottom w:val="nil"/>
            <w:right w:val="single" w:sz="4" w:space="0" w:color="auto"/>
          </w:tcBorders>
          <w:vAlign w:val="center"/>
        </w:tcPr>
        <w:p w14:paraId="4B8770B0" w14:textId="77777777" w:rsidR="009C2D0F" w:rsidRDefault="009C2D0F" w:rsidP="009C2D0F">
          <w:pPr>
            <w:pStyle w:val="Piedepgina"/>
            <w:ind w:left="188"/>
            <w:jc w:val="both"/>
            <w:rPr>
              <w:rFonts w:ascii="Arial" w:hAnsi="Arial"/>
              <w:b/>
              <w:bCs/>
              <w:sz w:val="16"/>
            </w:rPr>
          </w:pPr>
          <w:r>
            <w:rPr>
              <w:rFonts w:ascii="Arial" w:hAnsi="Arial"/>
              <w:b/>
              <w:bCs/>
              <w:sz w:val="16"/>
            </w:rPr>
            <w:t>Correo electrónico:</w:t>
          </w:r>
        </w:p>
        <w:p w14:paraId="25FAE189" w14:textId="77777777" w:rsidR="009C2D0F" w:rsidRDefault="009C2D0F" w:rsidP="009C2D0F">
          <w:pPr>
            <w:pStyle w:val="Piedepgina"/>
            <w:ind w:left="188"/>
            <w:jc w:val="both"/>
            <w:rPr>
              <w:rFonts w:ascii="Arial" w:hAnsi="Arial"/>
              <w:sz w:val="16"/>
            </w:rPr>
          </w:pPr>
          <w:r>
            <w:rPr>
              <w:rFonts w:ascii="Arial" w:hAnsi="Arial"/>
              <w:sz w:val="16"/>
            </w:rPr>
            <w:t>sugefcr@sugef.fi.cr</w:t>
          </w:r>
        </w:p>
      </w:tc>
      <w:tc>
        <w:tcPr>
          <w:tcW w:w="2654" w:type="dxa"/>
          <w:tcBorders>
            <w:top w:val="nil"/>
            <w:left w:val="single" w:sz="4" w:space="0" w:color="auto"/>
            <w:bottom w:val="nil"/>
            <w:right w:val="nil"/>
          </w:tcBorders>
          <w:vAlign w:val="center"/>
        </w:tcPr>
        <w:p w14:paraId="24AB1731" w14:textId="77777777" w:rsidR="009C2D0F" w:rsidRDefault="009C2D0F" w:rsidP="009C2D0F">
          <w:pPr>
            <w:pStyle w:val="Piedepgina"/>
            <w:ind w:left="188"/>
            <w:jc w:val="both"/>
            <w:rPr>
              <w:rFonts w:ascii="Arial" w:hAnsi="Arial"/>
              <w:sz w:val="16"/>
            </w:rPr>
          </w:pPr>
          <w:r>
            <w:rPr>
              <w:rFonts w:ascii="Arial" w:hAnsi="Arial"/>
              <w:b/>
              <w:bCs/>
              <w:sz w:val="16"/>
            </w:rPr>
            <w:t>Internet:</w:t>
          </w:r>
          <w:r>
            <w:rPr>
              <w:rFonts w:ascii="Arial" w:hAnsi="Arial"/>
              <w:sz w:val="16"/>
            </w:rPr>
            <w:t xml:space="preserve"> www.sugef.fi.cr</w:t>
          </w:r>
        </w:p>
        <w:p w14:paraId="52A58525" w14:textId="77777777" w:rsidR="009C2D0F" w:rsidRDefault="009C2D0F" w:rsidP="009C2D0F">
          <w:pPr>
            <w:pStyle w:val="Piedepgina"/>
            <w:ind w:left="188"/>
            <w:jc w:val="both"/>
            <w:rPr>
              <w:rFonts w:ascii="Arial" w:hAnsi="Arial"/>
              <w:sz w:val="16"/>
            </w:rPr>
          </w:pPr>
        </w:p>
      </w:tc>
    </w:tr>
  </w:tbl>
  <w:p w14:paraId="017FB094" w14:textId="77777777" w:rsidR="009C2D0F" w:rsidRPr="009C2D0F" w:rsidRDefault="009C2D0F" w:rsidP="002D7A4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F9216" w14:textId="77777777" w:rsidR="00424215" w:rsidRDefault="00424215" w:rsidP="009C2D0F">
      <w:pPr>
        <w:spacing w:after="0" w:line="240" w:lineRule="auto"/>
      </w:pPr>
      <w:r>
        <w:separator/>
      </w:r>
    </w:p>
  </w:footnote>
  <w:footnote w:type="continuationSeparator" w:id="0">
    <w:p w14:paraId="7C868CAF" w14:textId="77777777" w:rsidR="00424215" w:rsidRDefault="00424215" w:rsidP="009C2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9E4A" w14:textId="4DD629AE" w:rsidR="009C2D0F" w:rsidRDefault="009C2D0F" w:rsidP="008619B8">
    <w:pPr>
      <w:pStyle w:val="Encabezado"/>
      <w:ind w:right="-1"/>
      <w:jc w:val="center"/>
      <w:rPr>
        <w:rFonts w:ascii="Arial" w:hAnsi="Arial"/>
        <w:b/>
      </w:rPr>
    </w:pPr>
    <w:r>
      <w:rPr>
        <w:noProof/>
        <w:lang w:eastAsia="es-CR"/>
      </w:rPr>
      <w:drawing>
        <wp:inline distT="0" distB="0" distL="0" distR="0" wp14:anchorId="676D81B0" wp14:editId="6F1530ED">
          <wp:extent cx="1095375" cy="688340"/>
          <wp:effectExtent l="0" t="0" r="9525" b="0"/>
          <wp:docPr id="8" name="Imagen 8" descr="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GEF"/>
                  <pic:cNvPicPr>
                    <a:picLocks noChangeAspect="1" noChangeArrowheads="1"/>
                  </pic:cNvPicPr>
                </pic:nvPicPr>
                <pic:blipFill>
                  <a:blip r:embed="rId1">
                    <a:lum bright="-6000" contrast="6000"/>
                    <a:extLst>
                      <a:ext uri="{28A0092B-C50C-407E-A947-70E740481C1C}">
                        <a14:useLocalDpi xmlns:a14="http://schemas.microsoft.com/office/drawing/2010/main" val="0"/>
                      </a:ext>
                    </a:extLst>
                  </a:blip>
                  <a:srcRect/>
                  <a:stretch>
                    <a:fillRect/>
                  </a:stretch>
                </pic:blipFill>
                <pic:spPr bwMode="auto">
                  <a:xfrm>
                    <a:off x="0" y="0"/>
                    <a:ext cx="1095375" cy="688340"/>
                  </a:xfrm>
                  <a:prstGeom prst="rect">
                    <a:avLst/>
                  </a:prstGeom>
                  <a:noFill/>
                  <a:ln>
                    <a:noFill/>
                  </a:ln>
                </pic:spPr>
              </pic:pic>
            </a:graphicData>
          </a:graphic>
        </wp:inline>
      </w:drawing>
    </w:r>
  </w:p>
  <w:p w14:paraId="7FE6FB02" w14:textId="77777777" w:rsidR="008619B8" w:rsidRDefault="008619B8" w:rsidP="008619B8">
    <w:pPr>
      <w:pStyle w:val="Encabezado"/>
      <w:ind w:right="-1"/>
      <w:jc w:val="center"/>
      <w:rPr>
        <w:rFonts w:ascii="Arial" w:hAnsi="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CC0"/>
    <w:multiLevelType w:val="hybridMultilevel"/>
    <w:tmpl w:val="A5AC39C2"/>
    <w:lvl w:ilvl="0" w:tplc="D8B6679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DF86343"/>
    <w:multiLevelType w:val="hybridMultilevel"/>
    <w:tmpl w:val="B0288A0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D8B60E2"/>
    <w:multiLevelType w:val="hybridMultilevel"/>
    <w:tmpl w:val="002CE3F8"/>
    <w:lvl w:ilvl="0" w:tplc="D8B66792">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63672A19"/>
    <w:multiLevelType w:val="hybridMultilevel"/>
    <w:tmpl w:val="58CA9D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7D"/>
    <w:rsid w:val="000062DE"/>
    <w:rsid w:val="000D758E"/>
    <w:rsid w:val="000E270E"/>
    <w:rsid w:val="00135718"/>
    <w:rsid w:val="00144702"/>
    <w:rsid w:val="00196F18"/>
    <w:rsid w:val="001A548D"/>
    <w:rsid w:val="001F0803"/>
    <w:rsid w:val="00207717"/>
    <w:rsid w:val="00274886"/>
    <w:rsid w:val="002D2774"/>
    <w:rsid w:val="002D7A49"/>
    <w:rsid w:val="003270B7"/>
    <w:rsid w:val="003477FD"/>
    <w:rsid w:val="003E41D8"/>
    <w:rsid w:val="003F42C0"/>
    <w:rsid w:val="00403B19"/>
    <w:rsid w:val="00405C79"/>
    <w:rsid w:val="00424215"/>
    <w:rsid w:val="004551E3"/>
    <w:rsid w:val="004903BE"/>
    <w:rsid w:val="004C4416"/>
    <w:rsid w:val="004C4D5B"/>
    <w:rsid w:val="004D2EB6"/>
    <w:rsid w:val="004D5116"/>
    <w:rsid w:val="0050027A"/>
    <w:rsid w:val="00544267"/>
    <w:rsid w:val="005D6E31"/>
    <w:rsid w:val="00726690"/>
    <w:rsid w:val="00772FC5"/>
    <w:rsid w:val="007762ED"/>
    <w:rsid w:val="007917D5"/>
    <w:rsid w:val="007937E5"/>
    <w:rsid w:val="008619B8"/>
    <w:rsid w:val="008828A8"/>
    <w:rsid w:val="008F47BC"/>
    <w:rsid w:val="00912F25"/>
    <w:rsid w:val="00925E60"/>
    <w:rsid w:val="00985115"/>
    <w:rsid w:val="009A31E1"/>
    <w:rsid w:val="009C2D0F"/>
    <w:rsid w:val="009D2F7D"/>
    <w:rsid w:val="009F1EC3"/>
    <w:rsid w:val="00A128EF"/>
    <w:rsid w:val="00AC0A46"/>
    <w:rsid w:val="00AD6376"/>
    <w:rsid w:val="00B447D8"/>
    <w:rsid w:val="00BA78E9"/>
    <w:rsid w:val="00BC086C"/>
    <w:rsid w:val="00BE5A99"/>
    <w:rsid w:val="00C53BAF"/>
    <w:rsid w:val="00CA7BD5"/>
    <w:rsid w:val="00CF0DB0"/>
    <w:rsid w:val="00D47D44"/>
    <w:rsid w:val="00D91503"/>
    <w:rsid w:val="00DA2AC3"/>
    <w:rsid w:val="00DC312D"/>
    <w:rsid w:val="00E03DF3"/>
    <w:rsid w:val="00E10955"/>
    <w:rsid w:val="00E23B5B"/>
    <w:rsid w:val="00EC6B8D"/>
    <w:rsid w:val="00F12B46"/>
    <w:rsid w:val="00F703CB"/>
    <w:rsid w:val="00FC2DCC"/>
    <w:rsid w:val="00FD2B2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BEF4"/>
  <w15:docId w15:val="{6818F865-49D7-4150-98A0-52ADD024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9D2F7D"/>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D2F7D"/>
    <w:rPr>
      <w:rFonts w:ascii="Times New Roman" w:eastAsia="Times New Roman" w:hAnsi="Times New Roman" w:cs="Times New Roman"/>
      <w:b/>
      <w:bCs/>
      <w:sz w:val="27"/>
      <w:szCs w:val="27"/>
      <w:lang w:eastAsia="es-CR"/>
    </w:rPr>
  </w:style>
  <w:style w:type="paragraph" w:styleId="Prrafodelista">
    <w:name w:val="List Paragraph"/>
    <w:basedOn w:val="Normal"/>
    <w:uiPriority w:val="34"/>
    <w:qFormat/>
    <w:rsid w:val="009D2F7D"/>
    <w:pPr>
      <w:spacing w:after="0" w:line="240" w:lineRule="auto"/>
      <w:ind w:left="720"/>
    </w:pPr>
    <w:rPr>
      <w:rFonts w:ascii="Arial" w:eastAsia="Times New Roman" w:hAnsi="Arial" w:cs="Arial"/>
      <w:color w:val="3C4245"/>
      <w:lang w:eastAsia="es-CR"/>
    </w:rPr>
  </w:style>
  <w:style w:type="paragraph" w:styleId="Piedepgina">
    <w:name w:val="footer"/>
    <w:basedOn w:val="Normal"/>
    <w:link w:val="PiedepginaCar"/>
    <w:rsid w:val="00BC086C"/>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BC086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BC086C"/>
    <w:pPr>
      <w:spacing w:after="0" w:line="240" w:lineRule="auto"/>
      <w:jc w:val="both"/>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BC086C"/>
    <w:rPr>
      <w:rFonts w:ascii="Arial" w:eastAsia="Times New Roman" w:hAnsi="Arial" w:cs="Arial"/>
      <w:sz w:val="24"/>
      <w:szCs w:val="24"/>
      <w:lang w:val="es-ES" w:eastAsia="es-ES"/>
    </w:rPr>
  </w:style>
  <w:style w:type="table" w:styleId="Tablaconcuadrcula">
    <w:name w:val="Table Grid"/>
    <w:basedOn w:val="Tablanormal"/>
    <w:uiPriority w:val="59"/>
    <w:rsid w:val="000E2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6376"/>
    <w:rPr>
      <w:color w:val="0000FF" w:themeColor="hyperlink"/>
      <w:u w:val="single"/>
    </w:rPr>
  </w:style>
  <w:style w:type="character" w:styleId="Hipervnculovisitado">
    <w:name w:val="FollowedHyperlink"/>
    <w:basedOn w:val="Fuentedeprrafopredeter"/>
    <w:uiPriority w:val="99"/>
    <w:semiHidden/>
    <w:unhideWhenUsed/>
    <w:rsid w:val="00CF0DB0"/>
    <w:rPr>
      <w:color w:val="800080" w:themeColor="followedHyperlink"/>
      <w:u w:val="single"/>
    </w:rPr>
  </w:style>
  <w:style w:type="paragraph" w:styleId="Encabezado">
    <w:name w:val="header"/>
    <w:basedOn w:val="Normal"/>
    <w:link w:val="EncabezadoCar"/>
    <w:unhideWhenUsed/>
    <w:rsid w:val="009C2D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2D0F"/>
  </w:style>
  <w:style w:type="character" w:styleId="Refdecomentario">
    <w:name w:val="annotation reference"/>
    <w:basedOn w:val="Fuentedeprrafopredeter"/>
    <w:uiPriority w:val="99"/>
    <w:semiHidden/>
    <w:unhideWhenUsed/>
    <w:rsid w:val="00544267"/>
    <w:rPr>
      <w:sz w:val="16"/>
      <w:szCs w:val="16"/>
    </w:rPr>
  </w:style>
  <w:style w:type="paragraph" w:styleId="Textocomentario">
    <w:name w:val="annotation text"/>
    <w:basedOn w:val="Normal"/>
    <w:link w:val="TextocomentarioCar"/>
    <w:uiPriority w:val="99"/>
    <w:semiHidden/>
    <w:unhideWhenUsed/>
    <w:rsid w:val="005442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4267"/>
    <w:rPr>
      <w:sz w:val="20"/>
      <w:szCs w:val="20"/>
    </w:rPr>
  </w:style>
  <w:style w:type="paragraph" w:styleId="Asuntodelcomentario">
    <w:name w:val="annotation subject"/>
    <w:basedOn w:val="Textocomentario"/>
    <w:next w:val="Textocomentario"/>
    <w:link w:val="AsuntodelcomentarioCar"/>
    <w:uiPriority w:val="99"/>
    <w:semiHidden/>
    <w:unhideWhenUsed/>
    <w:rsid w:val="00544267"/>
    <w:rPr>
      <w:b/>
      <w:bCs/>
    </w:rPr>
  </w:style>
  <w:style w:type="character" w:customStyle="1" w:styleId="AsuntodelcomentarioCar">
    <w:name w:val="Asunto del comentario Car"/>
    <w:basedOn w:val="TextocomentarioCar"/>
    <w:link w:val="Asuntodelcomentario"/>
    <w:uiPriority w:val="99"/>
    <w:semiHidden/>
    <w:rsid w:val="00544267"/>
    <w:rPr>
      <w:b/>
      <w:bCs/>
      <w:sz w:val="20"/>
      <w:szCs w:val="20"/>
    </w:rPr>
  </w:style>
  <w:style w:type="paragraph" w:styleId="Textodeglobo">
    <w:name w:val="Balloon Text"/>
    <w:basedOn w:val="Normal"/>
    <w:link w:val="TextodegloboCar"/>
    <w:uiPriority w:val="99"/>
    <w:semiHidden/>
    <w:unhideWhenUsed/>
    <w:rsid w:val="005442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4267"/>
    <w:rPr>
      <w:rFonts w:ascii="Segoe UI" w:hAnsi="Segoe UI" w:cs="Segoe UI"/>
      <w:sz w:val="18"/>
      <w:szCs w:val="18"/>
    </w:rPr>
  </w:style>
  <w:style w:type="character" w:customStyle="1" w:styleId="spelle">
    <w:name w:val="spelle"/>
    <w:basedOn w:val="Fuentedeprrafopredeter"/>
    <w:rsid w:val="004903BE"/>
  </w:style>
  <w:style w:type="paragraph" w:styleId="NormalWeb">
    <w:name w:val="Normal (Web)"/>
    <w:basedOn w:val="Normal"/>
    <w:uiPriority w:val="99"/>
    <w:unhideWhenUsed/>
    <w:rsid w:val="004903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7032">
      <w:bodyDiv w:val="1"/>
      <w:marLeft w:val="0"/>
      <w:marRight w:val="0"/>
      <w:marTop w:val="0"/>
      <w:marBottom w:val="0"/>
      <w:divBdr>
        <w:top w:val="none" w:sz="0" w:space="0" w:color="auto"/>
        <w:left w:val="none" w:sz="0" w:space="0" w:color="auto"/>
        <w:bottom w:val="none" w:sz="0" w:space="0" w:color="auto"/>
        <w:right w:val="none" w:sz="0" w:space="0" w:color="auto"/>
      </w:divBdr>
    </w:div>
    <w:div w:id="627126605">
      <w:bodyDiv w:val="1"/>
      <w:marLeft w:val="0"/>
      <w:marRight w:val="0"/>
      <w:marTop w:val="0"/>
      <w:marBottom w:val="0"/>
      <w:divBdr>
        <w:top w:val="none" w:sz="0" w:space="0" w:color="auto"/>
        <w:left w:val="none" w:sz="0" w:space="0" w:color="auto"/>
        <w:bottom w:val="none" w:sz="0" w:space="0" w:color="auto"/>
        <w:right w:val="none" w:sz="0" w:space="0" w:color="auto"/>
      </w:divBdr>
    </w:div>
    <w:div w:id="774440595">
      <w:bodyDiv w:val="1"/>
      <w:marLeft w:val="0"/>
      <w:marRight w:val="0"/>
      <w:marTop w:val="0"/>
      <w:marBottom w:val="0"/>
      <w:divBdr>
        <w:top w:val="none" w:sz="0" w:space="0" w:color="auto"/>
        <w:left w:val="none" w:sz="0" w:space="0" w:color="auto"/>
        <w:bottom w:val="none" w:sz="0" w:space="0" w:color="auto"/>
        <w:right w:val="none" w:sz="0" w:space="0" w:color="auto"/>
      </w:divBdr>
      <w:divsChild>
        <w:div w:id="136266724">
          <w:marLeft w:val="0"/>
          <w:marRight w:val="0"/>
          <w:marTop w:val="0"/>
          <w:marBottom w:val="0"/>
          <w:divBdr>
            <w:top w:val="none" w:sz="0" w:space="0" w:color="auto"/>
            <w:left w:val="none" w:sz="0" w:space="0" w:color="auto"/>
            <w:bottom w:val="none" w:sz="0" w:space="0" w:color="auto"/>
            <w:right w:val="none" w:sz="0" w:space="0" w:color="auto"/>
          </w:divBdr>
        </w:div>
      </w:divsChild>
    </w:div>
    <w:div w:id="777916443">
      <w:bodyDiv w:val="1"/>
      <w:marLeft w:val="0"/>
      <w:marRight w:val="0"/>
      <w:marTop w:val="0"/>
      <w:marBottom w:val="0"/>
      <w:divBdr>
        <w:top w:val="none" w:sz="0" w:space="0" w:color="auto"/>
        <w:left w:val="none" w:sz="0" w:space="0" w:color="auto"/>
        <w:bottom w:val="none" w:sz="0" w:space="0" w:color="auto"/>
        <w:right w:val="none" w:sz="0" w:space="0" w:color="auto"/>
      </w:divBdr>
    </w:div>
    <w:div w:id="1036079083">
      <w:bodyDiv w:val="1"/>
      <w:marLeft w:val="0"/>
      <w:marRight w:val="0"/>
      <w:marTop w:val="0"/>
      <w:marBottom w:val="0"/>
      <w:divBdr>
        <w:top w:val="none" w:sz="0" w:space="0" w:color="auto"/>
        <w:left w:val="none" w:sz="0" w:space="0" w:color="auto"/>
        <w:bottom w:val="none" w:sz="0" w:space="0" w:color="auto"/>
        <w:right w:val="none" w:sz="0" w:space="0" w:color="auto"/>
      </w:divBdr>
    </w:div>
    <w:div w:id="1048990254">
      <w:bodyDiv w:val="1"/>
      <w:marLeft w:val="0"/>
      <w:marRight w:val="0"/>
      <w:marTop w:val="0"/>
      <w:marBottom w:val="0"/>
      <w:divBdr>
        <w:top w:val="none" w:sz="0" w:space="0" w:color="auto"/>
        <w:left w:val="none" w:sz="0" w:space="0" w:color="auto"/>
        <w:bottom w:val="none" w:sz="0" w:space="0" w:color="auto"/>
        <w:right w:val="none" w:sz="0" w:space="0" w:color="auto"/>
      </w:divBdr>
    </w:div>
    <w:div w:id="1273130538">
      <w:bodyDiv w:val="1"/>
      <w:marLeft w:val="0"/>
      <w:marRight w:val="0"/>
      <w:marTop w:val="0"/>
      <w:marBottom w:val="0"/>
      <w:divBdr>
        <w:top w:val="none" w:sz="0" w:space="0" w:color="auto"/>
        <w:left w:val="none" w:sz="0" w:space="0" w:color="auto"/>
        <w:bottom w:val="none" w:sz="0" w:space="0" w:color="auto"/>
        <w:right w:val="none" w:sz="0" w:space="0" w:color="auto"/>
      </w:divBdr>
    </w:div>
    <w:div w:id="1573202694">
      <w:bodyDiv w:val="1"/>
      <w:marLeft w:val="0"/>
      <w:marRight w:val="0"/>
      <w:marTop w:val="0"/>
      <w:marBottom w:val="0"/>
      <w:divBdr>
        <w:top w:val="none" w:sz="0" w:space="0" w:color="auto"/>
        <w:left w:val="none" w:sz="0" w:space="0" w:color="auto"/>
        <w:bottom w:val="none" w:sz="0" w:space="0" w:color="auto"/>
        <w:right w:val="none" w:sz="0" w:space="0" w:color="auto"/>
      </w:divBdr>
      <w:divsChild>
        <w:div w:id="1117405946">
          <w:marLeft w:val="0"/>
          <w:marRight w:val="0"/>
          <w:marTop w:val="0"/>
          <w:marBottom w:val="0"/>
          <w:divBdr>
            <w:top w:val="none" w:sz="0" w:space="0" w:color="auto"/>
            <w:left w:val="none" w:sz="0" w:space="0" w:color="auto"/>
            <w:bottom w:val="none" w:sz="0" w:space="0" w:color="auto"/>
            <w:right w:val="none" w:sz="0" w:space="0" w:color="auto"/>
          </w:divBdr>
          <w:divsChild>
            <w:div w:id="1929579518">
              <w:marLeft w:val="0"/>
              <w:marRight w:val="0"/>
              <w:marTop w:val="0"/>
              <w:marBottom w:val="0"/>
              <w:divBdr>
                <w:top w:val="none" w:sz="0" w:space="0" w:color="auto"/>
                <w:left w:val="none" w:sz="0" w:space="0" w:color="auto"/>
                <w:bottom w:val="none" w:sz="0" w:space="0" w:color="auto"/>
                <w:right w:val="none" w:sz="0" w:space="0" w:color="auto"/>
              </w:divBdr>
              <w:divsChild>
                <w:div w:id="1964925301">
                  <w:marLeft w:val="0"/>
                  <w:marRight w:val="0"/>
                  <w:marTop w:val="0"/>
                  <w:marBottom w:val="0"/>
                  <w:divBdr>
                    <w:top w:val="none" w:sz="0" w:space="0" w:color="auto"/>
                    <w:left w:val="none" w:sz="0" w:space="0" w:color="auto"/>
                    <w:bottom w:val="none" w:sz="0" w:space="0" w:color="auto"/>
                    <w:right w:val="none" w:sz="0" w:space="0" w:color="auto"/>
                  </w:divBdr>
                  <w:divsChild>
                    <w:div w:id="162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7514">
      <w:bodyDiv w:val="1"/>
      <w:marLeft w:val="0"/>
      <w:marRight w:val="0"/>
      <w:marTop w:val="0"/>
      <w:marBottom w:val="0"/>
      <w:divBdr>
        <w:top w:val="none" w:sz="0" w:space="0" w:color="auto"/>
        <w:left w:val="none" w:sz="0" w:space="0" w:color="auto"/>
        <w:bottom w:val="none" w:sz="0" w:space="0" w:color="auto"/>
        <w:right w:val="none" w:sz="0" w:space="0" w:color="auto"/>
      </w:divBdr>
    </w:div>
    <w:div w:id="2051103937">
      <w:bodyDiv w:val="1"/>
      <w:marLeft w:val="0"/>
      <w:marRight w:val="0"/>
      <w:marTop w:val="0"/>
      <w:marBottom w:val="0"/>
      <w:divBdr>
        <w:top w:val="none" w:sz="0" w:space="0" w:color="auto"/>
        <w:left w:val="none" w:sz="0" w:space="0" w:color="auto"/>
        <w:bottom w:val="none" w:sz="0" w:space="0" w:color="auto"/>
        <w:right w:val="none" w:sz="0" w:space="0" w:color="auto"/>
      </w:divBdr>
    </w:div>
    <w:div w:id="21422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gef.fi.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gefcr@sugef.fi.cr" TargetMode="External"/><Relationship Id="rId4" Type="http://schemas.openxmlformats.org/officeDocument/2006/relationships/settings" Target="settings.xml"/><Relationship Id="rId9" Type="http://schemas.openxmlformats.org/officeDocument/2006/relationships/hyperlink" Target="Guia%20y%20formulario%20quejas%20o%20denuncias%20(Verificaci&#243;n%20de%20Actividade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0C080-D227-458E-80B1-67592468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1863</Words>
  <Characters>10247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PIRITA</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Muñoz Umaña</dc:creator>
  <cp:lastModifiedBy>HERNANDEZ AVILA MARCO</cp:lastModifiedBy>
  <cp:revision>3</cp:revision>
  <cp:lastPrinted>2020-01-21T19:45:00Z</cp:lastPrinted>
  <dcterms:created xsi:type="dcterms:W3CDTF">2020-01-31T20:19:00Z</dcterms:created>
  <dcterms:modified xsi:type="dcterms:W3CDTF">2020-01-31T20:39:00Z</dcterms:modified>
</cp:coreProperties>
</file>